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A8290C">
      <w:pPr>
        <w:spacing w:after="240"/>
        <w:jc w:val="center"/>
      </w:pPr>
      <w:r>
        <w:t>PROJECT DOCUMENTATION</w:t>
      </w:r>
    </w:p>
    <w:p w14:paraId="2F5CBA65" w14:textId="4983EC03" w:rsidR="00685BB3" w:rsidRPr="00A8562E" w:rsidRDefault="00A8290C">
      <w:pPr>
        <w:spacing w:after="360"/>
        <w:jc w:val="center"/>
        <w:rPr>
          <w:b/>
          <w:bCs/>
          <w:color w:val="8496B0" w:themeColor="text2" w:themeTint="99"/>
          <w:sz w:val="28"/>
          <w:szCs w:val="28"/>
        </w:rPr>
      </w:pPr>
      <w:r w:rsidRPr="00A8562E">
        <w:rPr>
          <w:color w:val="8496B0" w:themeColor="text2" w:themeTint="99"/>
          <w:sz w:val="28"/>
          <w:szCs w:val="28"/>
        </w:rPr>
        <w:t>Automat</w:t>
      </w:r>
      <w:r w:rsidR="00020DCF" w:rsidRPr="00A8562E">
        <w:rPr>
          <w:color w:val="8496B0" w:themeColor="text2" w:themeTint="99"/>
          <w:sz w:val="28"/>
          <w:szCs w:val="28"/>
        </w:rPr>
        <w:t>ed</w:t>
      </w:r>
      <w:r w:rsidRPr="00A8562E">
        <w:rPr>
          <w:color w:val="8496B0" w:themeColor="text2" w:themeTint="99"/>
          <w:sz w:val="28"/>
          <w:szCs w:val="28"/>
        </w:rPr>
        <w:t xml:space="preserve"> Data Import</w:t>
      </w:r>
      <w:r w:rsidR="00020DCF" w:rsidRPr="00A8562E">
        <w:rPr>
          <w:color w:val="8496B0" w:themeColor="text2" w:themeTint="99"/>
          <w:sz w:val="28"/>
          <w:szCs w:val="28"/>
        </w:rPr>
        <w:t xml:space="preserve"> &amp; </w:t>
      </w:r>
      <w:r w:rsidRPr="00A8562E">
        <w:rPr>
          <w:color w:val="8496B0" w:themeColor="text2" w:themeTint="99"/>
          <w:sz w:val="28"/>
          <w:szCs w:val="28"/>
        </w:rPr>
        <w:t>Relationship Mapping</w:t>
      </w:r>
      <w:r w:rsidR="00020DCF" w:rsidRPr="00A8562E">
        <w:rPr>
          <w:color w:val="8496B0" w:themeColor="text2" w:themeTint="99"/>
          <w:sz w:val="28"/>
          <w:szCs w:val="28"/>
        </w:rPr>
        <w:t xml:space="preserve"> in ServiceNow</w:t>
      </w:r>
    </w:p>
    <w:p w14:paraId="13678D69" w14:textId="77777777" w:rsidR="00685BB3" w:rsidRDefault="00685BB3">
      <w:pPr>
        <w:spacing w:after="360"/>
        <w:jc w:val="center"/>
        <w:rPr>
          <w:b/>
          <w:bCs/>
          <w:color w:val="1F3864"/>
          <w:sz w:val="44"/>
          <w:szCs w:val="44"/>
        </w:rPr>
      </w:pPr>
    </w:p>
    <w:p w14:paraId="06A8AB06" w14:textId="77777777" w:rsidR="00685BB3" w:rsidRDefault="00A8290C">
      <w:pPr>
        <w:spacing w:after="180"/>
        <w:jc w:val="center"/>
        <w:rPr>
          <w:b/>
          <w:bCs/>
          <w:color w:val="2E75B6"/>
          <w:sz w:val="36"/>
          <w:szCs w:val="36"/>
        </w:rPr>
      </w:pPr>
      <w:r>
        <w:t>Using Import Sets &amp; Dot Walking in ServiceNow</w:t>
      </w:r>
    </w:p>
    <w:p w14:paraId="0FB5A94C" w14:textId="77777777" w:rsidR="00685BB3" w:rsidRDefault="00685BB3">
      <w:pPr>
        <w:spacing w:after="180"/>
        <w:jc w:val="center"/>
        <w:rPr>
          <w:b/>
          <w:bCs/>
          <w:color w:val="2E75B6"/>
          <w:sz w:val="36"/>
          <w:szCs w:val="36"/>
        </w:rPr>
      </w:pPr>
    </w:p>
    <w:p w14:paraId="472C9137" w14:textId="77777777" w:rsidR="00685BB3" w:rsidRDefault="00A8290C">
      <w:pPr>
        <w:pBdr>
          <w:top w:val="single" w:sz="4" w:space="0" w:color="2E75B6"/>
          <w:bottom w:val="single" w:sz="4" w:space="0" w:color="2E75B6"/>
        </w:pBdr>
        <w:spacing w:before="200" w:after="200"/>
        <w:jc w:val="center"/>
      </w:pPr>
      <w:r>
        <w:t xml:space="preserve">Skills: Import </w:t>
      </w:r>
      <w:proofErr w:type="gramStart"/>
      <w:r>
        <w:t>Sets  •</w:t>
      </w:r>
      <w:proofErr w:type="gramEnd"/>
      <w:r>
        <w:t xml:space="preserve">  Transform </w:t>
      </w:r>
      <w:proofErr w:type="gramStart"/>
      <w:r>
        <w:t>Maps  •</w:t>
      </w:r>
      <w:proofErr w:type="gramEnd"/>
      <w:r>
        <w:t xml:space="preserve">  Dot Walking</w:t>
      </w:r>
    </w:p>
    <w:p w14:paraId="13CBC532" w14:textId="77777777" w:rsidR="00685BB3" w:rsidRDefault="00685BB3">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276A6499" w14:textId="77777777" w:rsidR="00FA4E0A" w:rsidRDefault="00FA4E0A">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4DEE8AD7" w:rsidR="00685BB3" w:rsidRDefault="00A8290C">
      <w:r>
        <w:t xml:space="preserve">Submitted </w:t>
      </w:r>
      <w:proofErr w:type="gramStart"/>
      <w:r w:rsidR="00020DCF">
        <w:t>by :</w:t>
      </w:r>
      <w:proofErr w:type="gramEnd"/>
      <w:r w:rsidR="00020DCF">
        <w:t xml:space="preserve">-  </w:t>
      </w:r>
    </w:p>
    <w:p w14:paraId="6D063F4D" w14:textId="1E143EFB" w:rsidR="00020DCF" w:rsidRDefault="00020DCF">
      <w:r>
        <w:t>Khushi Rana</w:t>
      </w:r>
    </w:p>
    <w:p w14:paraId="478A50F6" w14:textId="4FD67AC3" w:rsidR="00020DCF" w:rsidRDefault="00020DCF">
      <w:pPr>
        <w:rPr>
          <w:rFonts w:ascii="Times New Roman" w:hAnsi="Times New Roman" w:cs="Times New Roman"/>
          <w:b/>
          <w:bCs/>
          <w:sz w:val="32"/>
          <w:szCs w:val="32"/>
        </w:rPr>
      </w:pP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4149"/>
        <w:gridCol w:w="4150"/>
      </w:tblGrid>
      <w:tr w:rsidR="00685BB3" w14:paraId="20CFD828" w14:textId="77777777" w:rsidTr="00060E1A">
        <w:trPr>
          <w:trHeight w:val="1004"/>
        </w:trPr>
        <w:tc>
          <w:tcPr>
            <w:tcW w:w="0" w:type="auto"/>
            <w:noWrap/>
            <w:vAlign w:val="center"/>
          </w:tcPr>
          <w:p w14:paraId="2AB610DB" w14:textId="6501FF43"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25B16080" w14:textId="40E6EE18" w:rsidR="00685BB3" w:rsidRDefault="00685BB3">
            <w:pPr>
              <w:textAlignment w:val="center"/>
              <w:rPr>
                <w:rFonts w:ascii="Times New Roman" w:hAnsi="Times New Roman" w:cs="Times New Roman"/>
                <w:color w:val="000000" w:themeColor="text1"/>
                <w:sz w:val="20"/>
                <w:szCs w:val="20"/>
              </w:rPr>
            </w:pPr>
          </w:p>
        </w:tc>
      </w:tr>
      <w:tr w:rsidR="00685BB3" w14:paraId="33121181" w14:textId="77777777" w:rsidTr="00060E1A">
        <w:trPr>
          <w:trHeight w:val="1004"/>
        </w:trPr>
        <w:tc>
          <w:tcPr>
            <w:tcW w:w="0" w:type="auto"/>
            <w:noWrap/>
            <w:vAlign w:val="center"/>
          </w:tcPr>
          <w:p w14:paraId="60A43F36" w14:textId="18AA94D2"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1819DBCD" w14:textId="7648D466" w:rsidR="00685BB3" w:rsidRDefault="00685BB3">
            <w:pPr>
              <w:textAlignment w:val="center"/>
              <w:rPr>
                <w:rFonts w:ascii="Times New Roman" w:hAnsi="Times New Roman" w:cs="Times New Roman"/>
                <w:color w:val="000000" w:themeColor="text1"/>
                <w:sz w:val="20"/>
                <w:szCs w:val="20"/>
              </w:rPr>
            </w:pPr>
          </w:p>
        </w:tc>
      </w:tr>
      <w:tr w:rsidR="00685BB3" w14:paraId="7C984760" w14:textId="77777777" w:rsidTr="00060E1A">
        <w:trPr>
          <w:trHeight w:val="1042"/>
        </w:trPr>
        <w:tc>
          <w:tcPr>
            <w:tcW w:w="0" w:type="auto"/>
            <w:noWrap/>
            <w:vAlign w:val="center"/>
          </w:tcPr>
          <w:p w14:paraId="57364705" w14:textId="631BE9D8"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584F7DC1" w14:textId="63094A68" w:rsidR="00685BB3" w:rsidRDefault="00685BB3">
            <w:pPr>
              <w:textAlignment w:val="center"/>
              <w:rPr>
                <w:rFonts w:ascii="Times New Roman" w:hAnsi="Times New Roman" w:cs="Times New Roman"/>
                <w:color w:val="000000" w:themeColor="text1"/>
                <w:sz w:val="20"/>
                <w:szCs w:val="20"/>
              </w:rPr>
            </w:pP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A8562E" w:rsidRDefault="00A8290C" w:rsidP="00FA4E0A">
      <w:pPr>
        <w:numPr>
          <w:ilvl w:val="0"/>
          <w:numId w:val="1"/>
        </w:numPr>
        <w:rPr>
          <w:rFonts w:ascii="Times New Roman" w:hAnsi="Times New Roman" w:cs="Times New Roman"/>
          <w:b/>
          <w:bCs/>
          <w:color w:val="1F4E79" w:themeColor="accent1" w:themeShade="80"/>
          <w:sz w:val="32"/>
          <w:szCs w:val="32"/>
        </w:rPr>
      </w:pPr>
      <w:r w:rsidRPr="00A8562E">
        <w:rPr>
          <w:b/>
          <w:bCs/>
          <w:color w:val="1F4E79" w:themeColor="accent1" w:themeShade="80"/>
          <w:sz w:val="32"/>
          <w:szCs w:val="32"/>
        </w:rPr>
        <w:t>ABSTRACT</w:t>
      </w:r>
    </w:p>
    <w:p w14:paraId="4EE499E1" w14:textId="77777777" w:rsidR="00685BB3" w:rsidRDefault="00685BB3">
      <w:pPr>
        <w:rPr>
          <w:rFonts w:ascii="Times New Roman" w:hAnsi="Times New Roman" w:cs="Times New Roman"/>
          <w:b/>
          <w:bCs/>
          <w:color w:val="000000" w:themeColor="text1"/>
          <w:sz w:val="36"/>
          <w:szCs w:val="36"/>
        </w:rPr>
      </w:pPr>
    </w:p>
    <w:p w14:paraId="0AAFE01C" w14:textId="77777777" w:rsidR="00020DCF" w:rsidRPr="00020DCF" w:rsidRDefault="00020DCF" w:rsidP="00020DCF">
      <w:pPr>
        <w:spacing w:before="80" w:after="120"/>
        <w:jc w:val="both"/>
      </w:pPr>
      <w:r w:rsidRPr="00020DCF">
        <w:t>This project focuses on simplifying and automating the process of importing data and managing relationships between records within the ServiceNow platform. In many organizations, large volumes of data are transferred from external files such as CSV or Excel spreadsheets into enterprise systems. Performing these tasks manually can lead to errors, inconsistencies, and increased processing time. Therefore, automation becomes essential for maintaining accurate and reliable data.</w:t>
      </w:r>
    </w:p>
    <w:p w14:paraId="33345FE6" w14:textId="77777777" w:rsidR="00020DCF" w:rsidRPr="00020DCF" w:rsidRDefault="00020DCF" w:rsidP="00020DCF">
      <w:pPr>
        <w:spacing w:before="80" w:after="120"/>
        <w:jc w:val="both"/>
      </w:pPr>
    </w:p>
    <w:p w14:paraId="18355948" w14:textId="77777777" w:rsidR="00020DCF" w:rsidRPr="00020DCF" w:rsidRDefault="00020DCF" w:rsidP="00020DCF">
      <w:pPr>
        <w:spacing w:before="80" w:after="120"/>
        <w:jc w:val="both"/>
      </w:pPr>
      <w:r w:rsidRPr="00020DCF">
        <w:t>The implementation makes use of key ServiceNow features including Import Sets, Transform Maps, and Dot Walking to enable efficient data integration. Import Sets act as a temporary staging area where external data is first uploaded and prepared for processing. Transform Maps are then used to define how the incoming data fields correspond to the fields in the target tables within the ServiceNow database. This structured mapping process ensures that data is transferred correctly and stored in the appropriate locations.</w:t>
      </w:r>
    </w:p>
    <w:p w14:paraId="401B3DCC" w14:textId="77777777" w:rsidR="00020DCF" w:rsidRPr="00020DCF" w:rsidRDefault="00020DCF" w:rsidP="00020DCF">
      <w:pPr>
        <w:spacing w:before="80" w:after="120"/>
        <w:jc w:val="both"/>
      </w:pPr>
    </w:p>
    <w:p w14:paraId="51AEE118" w14:textId="77777777" w:rsidR="00020DCF" w:rsidRPr="00020DCF" w:rsidRDefault="00020DCF" w:rsidP="00020DCF">
      <w:pPr>
        <w:spacing w:before="80" w:after="120"/>
        <w:jc w:val="both"/>
      </w:pPr>
      <w:r w:rsidRPr="00020DCF">
        <w:t>Another important aspect of this project is the use of Dot Walking, which enables the system to navigate relationships between multiple tables. Through this mechanism, related information such as employee details, department records, and managerial data can be connected and accessed seamlessly. This improves visibility of related records and enhances the overall data management process.</w:t>
      </w:r>
    </w:p>
    <w:p w14:paraId="5D65210E" w14:textId="77777777" w:rsidR="00020DCF" w:rsidRPr="00020DCF" w:rsidRDefault="00020DCF" w:rsidP="00020DCF">
      <w:pPr>
        <w:spacing w:before="80" w:after="120"/>
        <w:jc w:val="both"/>
      </w:pPr>
    </w:p>
    <w:p w14:paraId="2C8418A6" w14:textId="3CFE2990" w:rsidR="00685BB3" w:rsidRPr="00020DCF" w:rsidRDefault="00020DCF" w:rsidP="00020DCF">
      <w:pPr>
        <w:spacing w:before="80" w:after="120"/>
        <w:jc w:val="both"/>
      </w:pPr>
      <w:r w:rsidRPr="00020DCF">
        <w:t>By combining these ServiceNow capabilities, the project demonstrates a practical approach for automating data import operations while maintaining accurate relationships between records. The result is a more efficient workflow that reduces manual effort, improves data consistency, and supports scalable enterprise data management within the ServiceNow environment.</w:t>
      </w:r>
    </w:p>
    <w:p w14:paraId="62B267BA" w14:textId="77777777" w:rsidR="00685BB3" w:rsidRPr="00020DCF" w:rsidRDefault="00685BB3">
      <w:pPr>
        <w:rPr>
          <w:b/>
          <w:bCs/>
          <w:color w:val="000000" w:themeColor="text1"/>
        </w:rPr>
      </w:pPr>
    </w:p>
    <w:p w14:paraId="71423916" w14:textId="77777777" w:rsidR="00685BB3" w:rsidRPr="00020DCF" w:rsidRDefault="00685BB3">
      <w:pPr>
        <w:rPr>
          <w:b/>
          <w:bCs/>
          <w:color w:val="000000" w:themeColor="text1"/>
        </w:rPr>
      </w:pPr>
    </w:p>
    <w:p w14:paraId="1494FE20" w14:textId="77777777" w:rsidR="00685BB3" w:rsidRPr="00020DCF" w:rsidRDefault="00685BB3">
      <w:pPr>
        <w:rPr>
          <w:b/>
          <w:bCs/>
          <w:color w:val="1F3864"/>
        </w:rPr>
      </w:pPr>
    </w:p>
    <w:p w14:paraId="5E40BE82" w14:textId="77777777" w:rsidR="00FA4E0A" w:rsidRPr="00020DCF" w:rsidRDefault="00FA4E0A">
      <w:pPr>
        <w:rPr>
          <w:b/>
          <w:bCs/>
          <w:color w:val="1F3864"/>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Pr="00A8562E" w:rsidRDefault="00A8290C">
      <w:pPr>
        <w:pStyle w:val="Heading1"/>
        <w:numPr>
          <w:ilvl w:val="0"/>
          <w:numId w:val="1"/>
        </w:numPr>
        <w:rPr>
          <w:rFonts w:ascii="Times New Roman" w:hAnsi="Times New Roman" w:cs="Times New Roman"/>
          <w:color w:val="1F4E79" w:themeColor="accent1" w:themeShade="80"/>
        </w:rPr>
      </w:pPr>
      <w:r w:rsidRPr="00A8562E">
        <w:rPr>
          <w:color w:val="1F4E79" w:themeColor="accent1" w:themeShade="80"/>
        </w:rPr>
        <w:t>Introduction</w:t>
      </w:r>
    </w:p>
    <w:p w14:paraId="40F2E864" w14:textId="77777777" w:rsidR="00685BB3" w:rsidRDefault="00685BB3"/>
    <w:p w14:paraId="41CA1121" w14:textId="77777777" w:rsidR="00685BB3" w:rsidRDefault="00A8290C">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A8290C">
      <w:pPr>
        <w:spacing w:before="60" w:after="100"/>
        <w:jc w:val="both"/>
        <w:rPr>
          <w:rFonts w:ascii="Times New Roman" w:hAnsi="Times New Roman" w:cs="Times New Roman"/>
        </w:rPr>
      </w:pPr>
      <w:r>
        <w:t xml:space="preserve">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w:t>
      </w:r>
      <w:proofErr w:type="gramStart"/>
      <w:r>
        <w:t>a</w:t>
      </w:r>
      <w:proofErr w:type="gramEnd"/>
      <w:r>
        <w:t xml:space="preserve"> extensive API ecosystem. All platform entities — users, incidents, configuration items, and departments — are stored as records in discrete </w:t>
      </w:r>
      <w:r>
        <w:lastRenderedPageBreak/>
        <w:t>database tables, and relationships between entities are modelled using reference fields that store the unique system identifier (sys_id) of the linked record.</w:t>
      </w:r>
    </w:p>
    <w:p w14:paraId="2A43E73C" w14:textId="77777777" w:rsidR="00685BB3" w:rsidRDefault="00A8290C">
      <w:pPr>
        <w:pStyle w:val="Heading2"/>
        <w:rPr>
          <w:rFonts w:ascii="Times New Roman" w:hAnsi="Times New Roman" w:cs="Times New Roman"/>
          <w:color w:val="000000" w:themeColor="text1"/>
        </w:rPr>
      </w:pPr>
      <w:proofErr w:type="gramStart"/>
      <w:r>
        <w:t>2.2  Importance</w:t>
      </w:r>
      <w:proofErr w:type="gramEnd"/>
      <w:r>
        <w:t xml:space="preserve"> of Automated Data Integration in Enterprise Systems</w:t>
      </w:r>
    </w:p>
    <w:p w14:paraId="0A0ABA79" w14:textId="77777777" w:rsidR="00685BB3" w:rsidRDefault="00A8290C">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A8290C">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A8290C">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A8290C">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A8290C">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A8290C">
      <w:pPr>
        <w:spacing w:before="60" w:after="100"/>
        <w:jc w:val="both"/>
        <w:rPr>
          <w:rFonts w:ascii="Times New Roman" w:hAnsi="Times New Roman" w:cs="Times New Roman"/>
        </w:rPr>
      </w:pPr>
      <w: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569DF664" w14:textId="77777777" w:rsidR="00685BB3" w:rsidRDefault="00A8290C">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A8290C">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A8290C">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A8290C">
      <w:pPr>
        <w:spacing w:before="80" w:after="120"/>
        <w:jc w:val="both"/>
        <w:rPr>
          <w:rFonts w:ascii="Times New Roman" w:hAnsi="Times New Roman" w:cs="Times New Roman"/>
        </w:rPr>
      </w:pPr>
      <w:r>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A8290C">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A8290C">
      <w:pPr>
        <w:pStyle w:val="ListParagraph"/>
        <w:numPr>
          <w:ilvl w:val="0"/>
          <w:numId w:val="2"/>
        </w:numPr>
        <w:spacing w:before="60" w:after="60"/>
        <w:rPr>
          <w:rFonts w:ascii="Times New Roman" w:hAnsi="Times New Roman" w:cs="Times New Roman"/>
        </w:rPr>
      </w:pPr>
      <w:r>
        <w:lastRenderedPageBreak/>
        <w:t>To configure Import Sets and associated Import Set Tables to act as an efficient staging layer for incoming external data.</w:t>
      </w:r>
    </w:p>
    <w:p w14:paraId="3A201638" w14:textId="77777777" w:rsidR="00685BB3" w:rsidRDefault="00A8290C">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A8290C">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A8290C">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A8290C">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A8290C">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A8290C">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A8290C">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A8290C">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A8290C">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A8290C">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A8290C">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A8290C">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A8290C">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A8290C">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A8290C">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A8290C">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A8290C">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A8290C">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A8290C">
            <w:pPr>
              <w:rPr>
                <w:rFonts w:ascii="Times New Roman" w:hAnsi="Times New Roman" w:cs="Times New Roman"/>
              </w:rPr>
            </w:pPr>
            <w:r>
              <w:t>Traverses reference relationships between tables using dot notation (e.g., assigned_</w:t>
            </w:r>
            <w:proofErr w:type="gramStart"/>
            <w:r>
              <w:t>to.department</w:t>
            </w:r>
            <w:proofErr w:type="gramEnd"/>
            <w:r>
              <w: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A8290C">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A8290C">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A8290C">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A8290C">
      <w:pPr>
        <w:spacing w:before="80" w:after="80"/>
        <w:jc w:val="center"/>
      </w:pPr>
      <w:r>
        <w:lastRenderedPageBreak/>
        <w:t xml:space="preserve">External CSV </w:t>
      </w:r>
      <w:proofErr w:type="gramStart"/>
      <w:r>
        <w:t>File  ─</w:t>
      </w:r>
      <w:proofErr w:type="gramEnd"/>
      <w:r>
        <w:t>─</w:t>
      </w:r>
      <w:proofErr w:type="gramStart"/>
      <w:r>
        <w:t>►  Import</w:t>
      </w:r>
      <w:proofErr w:type="gramEnd"/>
      <w:r>
        <w:t xml:space="preserve"> Set </w:t>
      </w:r>
      <w:proofErr w:type="gramStart"/>
      <w:r>
        <w:t>Table  ─</w:t>
      </w:r>
      <w:proofErr w:type="gramEnd"/>
      <w:r>
        <w:t>─</w:t>
      </w:r>
      <w:proofErr w:type="gramStart"/>
      <w:r>
        <w:t>►  Transform</w:t>
      </w:r>
      <w:proofErr w:type="gramEnd"/>
      <w:r>
        <w:t xml:space="preserve"> </w:t>
      </w:r>
      <w:proofErr w:type="gramStart"/>
      <w:r>
        <w:t>Map  ─</w:t>
      </w:r>
      <w:proofErr w:type="gramEnd"/>
      <w:r>
        <w:t>─</w:t>
      </w:r>
      <w:proofErr w:type="gramStart"/>
      <w:r>
        <w:t>►  Target</w:t>
      </w:r>
      <w:proofErr w:type="gramEnd"/>
      <w:r>
        <w:t xml:space="preserve"> </w:t>
      </w:r>
      <w:proofErr w:type="gramStart"/>
      <w:r>
        <w:t>Table  ─</w:t>
      </w:r>
      <w:proofErr w:type="gramEnd"/>
      <w:r>
        <w:t>─</w:t>
      </w:r>
      <w:proofErr w:type="gramStart"/>
      <w:r>
        <w:t>►  Relationship</w:t>
      </w:r>
      <w:proofErr w:type="gramEnd"/>
      <w:r>
        <w:t xml:space="preserve">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Default="00A8290C">
            <w: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Default="00A8290C">
            <w: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Default="00A8290C">
            <w: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A8290C">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A8290C">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A8290C">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A8290C">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A8290C">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A8290C">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A8290C">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A8290C">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A8290C">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A8290C">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A8290C">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A8290C">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A8290C">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A8290C">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A8290C">
            <w:pPr>
              <w:jc w:val="both"/>
            </w:pPr>
            <w:r>
              <w:t>Dot Walking resolves reference fields: department.name traverses the Department table; manager.user_name traverses the User table.</w:t>
            </w:r>
          </w:p>
        </w:tc>
      </w:tr>
    </w:tbl>
    <w:p w14:paraId="6979E25C" w14:textId="77777777" w:rsidR="00685BB3" w:rsidRDefault="00A8290C">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A8290C">
      <w:pPr>
        <w:spacing w:before="80" w:after="120" w:line="360" w:lineRule="auto"/>
        <w:ind w:left="360"/>
        <w:jc w:val="both"/>
        <w:rPr>
          <w:rFonts w:ascii="Times New Roman" w:hAnsi="Times New Roman" w:cs="Times New Roman"/>
        </w:rPr>
      </w:pPr>
      <w: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A8290C">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A8290C">
      <w:pPr>
        <w:spacing w:before="80" w:after="120" w:line="360" w:lineRule="auto"/>
        <w:ind w:left="360"/>
        <w:jc w:val="both"/>
        <w:rPr>
          <w:rFonts w:ascii="Times New Roman" w:hAnsi="Times New Roman" w:cs="Times New Roman"/>
        </w:rPr>
      </w:pPr>
      <w: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w:t>
      </w:r>
      <w:proofErr w:type="gramStart"/>
      <w:r>
        <w:t>record  without</w:t>
      </w:r>
      <w:proofErr w:type="gramEnd"/>
      <w:r>
        <w:t xml:space="preserve"> requiring any manual lookup or additional form navigation.</w:t>
      </w:r>
    </w:p>
    <w:p w14:paraId="23CA27D2" w14:textId="77777777" w:rsidR="00685BB3" w:rsidRDefault="00A8290C">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A8290C">
      <w:pPr>
        <w:spacing w:before="80" w:after="120" w:line="360" w:lineRule="auto"/>
        <w:jc w:val="both"/>
        <w:rPr>
          <w:rFonts w:ascii="Times New Roman" w:hAnsi="Times New Roman" w:cs="Times New Roman"/>
        </w:rPr>
      </w:pPr>
      <w:r>
        <w:lastRenderedPageBreak/>
        <w:t>The implementation of the project was carried out in a structured sequence of steps as described below:</w:t>
      </w:r>
    </w:p>
    <w:p w14:paraId="7D152C9A" w14:textId="77777777" w:rsidR="00685BB3" w:rsidRDefault="00A8290C">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A8290C">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w:t>
      </w:r>
      <w:r>
        <w:t>ponded to existing records in the related tables within the ServiceNow instance.</w:t>
      </w:r>
    </w:p>
    <w:p w14:paraId="7A811328" w14:textId="77777777" w:rsidR="00685BB3" w:rsidRDefault="00A8290C">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A8290C">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BE57AAA" w14:textId="77777777" w:rsidR="00685BB3" w:rsidRDefault="00A8290C">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A8290C">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5155C81B" w14:textId="77777777" w:rsidR="00685BB3" w:rsidRDefault="00A8290C">
      <w:pPr>
        <w:pStyle w:val="Heading2"/>
        <w:spacing w:before="240" w:after="120" w:line="360" w:lineRule="auto"/>
        <w:rPr>
          <w:rFonts w:ascii="Times New Roman" w:hAnsi="Times New Roman" w:cs="Times New Roman"/>
          <w:color w:val="000000" w:themeColor="text1"/>
        </w:rPr>
      </w:pPr>
      <w:r>
        <w:t>Step 4: Creating Import Set Tables</w:t>
      </w:r>
    </w:p>
    <w:p w14:paraId="62EA961D" w14:textId="77777777" w:rsidR="00685BB3" w:rsidRDefault="00A8290C">
      <w:pPr>
        <w:spacing w:before="80" w:after="120" w:line="360" w:lineRule="auto"/>
        <w:jc w:val="both"/>
        <w:rPr>
          <w:rFonts w:ascii="Times New Roman" w:hAnsi="Times New Roman" w:cs="Times New Roman"/>
        </w:rPr>
      </w:pPr>
      <w: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A8290C">
      <w:pPr>
        <w:pStyle w:val="Heading2"/>
        <w:spacing w:before="240" w:after="120" w:line="360" w:lineRule="auto"/>
        <w:rPr>
          <w:rFonts w:ascii="Times New Roman" w:hAnsi="Times New Roman" w:cs="Times New Roman"/>
          <w:color w:val="000000" w:themeColor="text1"/>
        </w:rPr>
      </w:pPr>
      <w:r>
        <w:lastRenderedPageBreak/>
        <w:t>Step 5: Creating Transform Maps</w:t>
      </w:r>
    </w:p>
    <w:p w14:paraId="44800FDB" w14:textId="77777777" w:rsidR="00685BB3" w:rsidRDefault="00A8290C">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A8290C">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A8290C">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A8290C">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A8290C">
      <w:pPr>
        <w:spacing w:before="80" w:after="120" w:line="360" w:lineRule="auto"/>
        <w:jc w:val="both"/>
        <w:rPr>
          <w:rFonts w:ascii="Times New Roman" w:hAnsi="Times New Roman" w:cs="Times New Roman"/>
        </w:rPr>
      </w:pPr>
      <w: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e Field Map was configured to use Dot Walking notation (caller_</w:t>
      </w:r>
      <w:proofErr w:type="gramStart"/>
      <w:r>
        <w:t>id.email</w:t>
      </w:r>
      <w:proofErr w:type="gramEnd"/>
      <w:r>
        <w:t>) with the coalesce checkbox enabled on that field, allowing ServiceNow to automatically resolve the reference by matching the email value to the user record.</w:t>
      </w:r>
    </w:p>
    <w:p w14:paraId="63CF5A55" w14:textId="77777777" w:rsidR="00685BB3" w:rsidRDefault="00A8290C">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A8290C">
      <w:pPr>
        <w:spacing w:before="80" w:after="120" w:line="360" w:lineRule="auto"/>
        <w:jc w:val="both"/>
        <w:rPr>
          <w:rFonts w:ascii="Times New Roman" w:hAnsi="Times New Roman" w:cs="Times New Roman"/>
        </w:rPr>
      </w:pPr>
      <w:r>
        <w:t xml:space="preserve">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w:t>
      </w:r>
      <w:r>
        <w:lastRenderedPageBreak/>
        <w:t>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A8290C">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A8290C">
      <w:pPr>
        <w:spacing w:before="200" w:after="80"/>
        <w:rPr>
          <w:b/>
          <w:bCs/>
          <w:color w:val="145A7C"/>
          <w:sz w:val="24"/>
          <w:szCs w:val="24"/>
        </w:rPr>
      </w:pPr>
      <w:r>
        <w:t>Activity 1: Create Records in Google Sheet</w:t>
      </w:r>
    </w:p>
    <w:p w14:paraId="40DA1E0C" w14:textId="77777777" w:rsidR="00685BB3" w:rsidRDefault="00685BB3">
      <w:pPr>
        <w:spacing w:before="200" w:after="80"/>
        <w:rPr>
          <w:b/>
          <w:bCs/>
          <w:color w:val="145A7C"/>
          <w:sz w:val="24"/>
          <w:szCs w:val="24"/>
        </w:rPr>
      </w:pPr>
    </w:p>
    <w:p w14:paraId="0ABF83CF" w14:textId="77777777" w:rsidR="00685BB3" w:rsidRDefault="00A8290C">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A8290C">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A8290C">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A8290C">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A8290C">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A8290C">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A8290C">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A8290C">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A8290C">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A8290C">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A8290C">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A8290C">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A8290C">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mapping configuration.</w:t>
      </w:r>
    </w:p>
    <w:p w14:paraId="2DBB539E" w14:textId="77777777" w:rsidR="00685BB3" w:rsidRDefault="00A8290C">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A8290C">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A8290C">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A8290C">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A8290C">
      <w:pPr>
        <w:spacing w:before="60" w:after="100" w:line="360" w:lineRule="auto"/>
        <w:ind w:left="360"/>
        <w:jc w:val="both"/>
        <w:rPr>
          <w:rFonts w:ascii="Times New Roman" w:hAnsi="Times New Roman" w:cs="Times New Roman"/>
        </w:rPr>
      </w:pPr>
      <w: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A8290C">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A8290C">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A8290C">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A8290C">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A8290C">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A8290C">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A8290C">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A8290C">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A8290C">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A8290C">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A8290C">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A8290C">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A8290C">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A8290C">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A8290C">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A8290C">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A8290C">
      <w:pPr>
        <w:spacing w:before="60" w:after="100" w:line="360" w:lineRule="auto"/>
        <w:jc w:val="both"/>
        <w:rPr>
          <w:rFonts w:ascii="Times New Roman" w:hAnsi="Times New Roman" w:cs="Times New Roman"/>
          <w:color w:val="000000" w:themeColor="text1"/>
        </w:rPr>
      </w:pPr>
      <w:r>
        <w:t xml:space="preserve">For target tables with complex schemas involving deep reference chains or non-standard field types, configuring accurate Field Maps requires detailed knowledge of </w:t>
      </w:r>
      <w:r>
        <w:lastRenderedPageBreak/>
        <w:t>the target table's data model. Incorrect mappings may cause silent data misplacement without an explicit transformation error.</w:t>
      </w:r>
    </w:p>
    <w:p w14:paraId="06DF6EB6" w14:textId="77777777" w:rsidR="00685BB3" w:rsidRDefault="00A8290C">
      <w:pPr>
        <w:pStyle w:val="Heading2"/>
        <w:numPr>
          <w:ilvl w:val="0"/>
          <w:numId w:val="6"/>
        </w:numPr>
        <w:rPr>
          <w:rFonts w:ascii="Times New Roman" w:hAnsi="Times New Roman" w:cs="Times New Roman"/>
          <w:color w:val="000000" w:themeColor="text1"/>
        </w:rPr>
      </w:pPr>
      <w:r>
        <w:t>Sensitivity to Source Data Format</w:t>
      </w:r>
    </w:p>
    <w:p w14:paraId="44A6E913" w14:textId="77777777" w:rsidR="00685BB3" w:rsidRDefault="00685BB3"/>
    <w:p w14:paraId="52485724" w14:textId="77777777" w:rsidR="00685BB3" w:rsidRDefault="00A8290C">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A8290C">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A8290C">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A8290C">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A8290C">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A8290C">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A8290C">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A8290C">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A8290C">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A8290C">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A8290C">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A8290C">
      <w:pPr>
        <w:spacing w:before="60" w:after="100" w:line="360" w:lineRule="auto"/>
        <w:jc w:val="both"/>
        <w:rPr>
          <w:rFonts w:ascii="Times New Roman" w:hAnsi="Times New Roman" w:cs="Times New Roman"/>
          <w:color w:val="000000" w:themeColor="text1"/>
        </w:rPr>
      </w:pPr>
      <w:r>
        <w:lastRenderedPageBreak/>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A8290C">
      <w:pPr>
        <w:pStyle w:val="Heading2"/>
        <w:rPr>
          <w:rFonts w:ascii="Times New Roman" w:hAnsi="Times New Roman" w:cs="Times New Roman"/>
          <w:color w:val="000000" w:themeColor="text1"/>
        </w:rPr>
      </w:pPr>
      <w:r>
        <w:t>Automated Data Validation with Transform Scripts</w:t>
      </w:r>
    </w:p>
    <w:p w14:paraId="08E425C3" w14:textId="77777777" w:rsidR="00685BB3" w:rsidRDefault="00685BB3"/>
    <w:p w14:paraId="33896303" w14:textId="77777777" w:rsidR="00685BB3" w:rsidRDefault="00A8290C">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A8290C">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A8290C">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A8290C">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A8290C">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A8290C">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A8290C">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A8290C">
      <w:pPr>
        <w:pStyle w:val="Heading1"/>
        <w:numPr>
          <w:ilvl w:val="0"/>
          <w:numId w:val="9"/>
        </w:numPr>
        <w:pBdr>
          <w:bottom w:val="single" w:sz="6" w:space="6" w:color="2E75B6"/>
        </w:pBdr>
        <w:spacing w:before="360" w:after="200"/>
        <w:rPr>
          <w:color w:val="000000" w:themeColor="text1"/>
        </w:rPr>
      </w:pPr>
      <w:r>
        <w:t>Conclusion</w:t>
      </w:r>
    </w:p>
    <w:p w14:paraId="4F273E8A" w14:textId="3F2A4617" w:rsidR="00685BB3" w:rsidRDefault="00020DCF">
      <w:pPr>
        <w:spacing w:before="60" w:after="100" w:line="360" w:lineRule="auto"/>
        <w:jc w:val="both"/>
        <w:rPr>
          <w:rFonts w:ascii="Times New Roman" w:hAnsi="Times New Roman" w:cs="Times New Roman"/>
          <w:sz w:val="24"/>
          <w:szCs w:val="24"/>
        </w:rPr>
      </w:pPr>
      <w:r w:rsidRPr="00020DCF">
        <w:t>This project highlights how automation within ServiceNow can simplify enterprise data management processes and improve overall efficiency</w:t>
      </w:r>
      <w:r w:rsidR="00A8290C">
        <w:t>.</w:t>
      </w:r>
      <w:r>
        <w:t xml:space="preserve"> </w:t>
      </w:r>
      <w:r w:rsidR="00A8290C">
        <w:t>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2F970E59" w14:textId="77777777" w:rsidR="00685BB3" w:rsidRDefault="00A8290C">
      <w:pPr>
        <w:spacing w:before="60" w:after="100" w:line="360" w:lineRule="auto"/>
        <w:jc w:val="both"/>
        <w:rPr>
          <w:rFonts w:ascii="Times New Roman" w:hAnsi="Times New Roman" w:cs="Times New Roman"/>
          <w:sz w:val="24"/>
          <w:szCs w:val="24"/>
        </w:rPr>
      </w:pPr>
      <w:r>
        <w:lastRenderedPageBreak/>
        <w:t>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w:t>
      </w:r>
      <w:r>
        <w:t>nces without any pre-processing.</w:t>
      </w:r>
    </w:p>
    <w:p w14:paraId="510E3A7B" w14:textId="77777777" w:rsidR="00685BB3" w:rsidRDefault="00A8290C">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A8290C">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A8290C">
      <w:pPr>
        <w:spacing w:line="360" w:lineRule="auto"/>
        <w:jc w:val="both"/>
        <w:rPr>
          <w:rFonts w:ascii="Times New Roman" w:hAnsi="Times New Roman" w:cs="Times New Roman"/>
          <w:sz w:val="24"/>
          <w:szCs w:val="24"/>
        </w:rPr>
      </w:pPr>
      <w: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A8290C">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A8290C">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A8290C">
      <w:pPr>
        <w:pStyle w:val="ListParagraph"/>
        <w:numPr>
          <w:ilvl w:val="0"/>
          <w:numId w:val="10"/>
        </w:numPr>
        <w:spacing w:before="60" w:after="60"/>
        <w:rPr>
          <w:rFonts w:ascii="Times New Roman" w:hAnsi="Times New Roman" w:cs="Times New Roman"/>
        </w:rPr>
      </w:pPr>
      <w:r>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A8290C">
      <w:pPr>
        <w:pStyle w:val="ListParagraph"/>
        <w:numPr>
          <w:ilvl w:val="0"/>
          <w:numId w:val="10"/>
        </w:numPr>
        <w:spacing w:before="60" w:after="60"/>
        <w:rPr>
          <w:rFonts w:ascii="Times New Roman" w:hAnsi="Times New Roman" w:cs="Times New Roman"/>
        </w:rPr>
      </w:pPr>
      <w:r>
        <w:lastRenderedPageBreak/>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A8290C">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A8290C">
      <w:pPr>
        <w:pStyle w:val="ListParagraph"/>
        <w:numPr>
          <w:ilvl w:val="0"/>
          <w:numId w:val="10"/>
        </w:numPr>
        <w:spacing w:before="60" w:after="60"/>
        <w:rPr>
          <w:rFonts w:ascii="Times New Roman" w:hAnsi="Times New Roman" w:cs="Times New Roman"/>
        </w:rPr>
      </w:pPr>
      <w:r>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A8290C">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A8290C">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A8290C">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A8290C">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A8290C">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6D53ED"/>
    <w:rsid w:val="00020DCF"/>
    <w:rsid w:val="00025340"/>
    <w:rsid w:val="00060E1A"/>
    <w:rsid w:val="001A0361"/>
    <w:rsid w:val="004961F9"/>
    <w:rsid w:val="004F0259"/>
    <w:rsid w:val="005F621C"/>
    <w:rsid w:val="00670120"/>
    <w:rsid w:val="00685BB3"/>
    <w:rsid w:val="00723B1D"/>
    <w:rsid w:val="0074254B"/>
    <w:rsid w:val="007A002D"/>
    <w:rsid w:val="007F6FFC"/>
    <w:rsid w:val="008B2C83"/>
    <w:rsid w:val="00A36299"/>
    <w:rsid w:val="00A8562E"/>
    <w:rsid w:val="00A8786A"/>
    <w:rsid w:val="00B245D8"/>
    <w:rsid w:val="00D62E86"/>
    <w:rsid w:val="00D92C3D"/>
    <w:rsid w:val="00E47C35"/>
    <w:rsid w:val="00FA4E0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3707</Words>
  <Characters>21133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Khushi Rana</cp:lastModifiedBy>
  <cp:revision>2</cp:revision>
  <dcterms:created xsi:type="dcterms:W3CDTF">2026-03-15T12:14:00Z</dcterms:created>
  <dcterms:modified xsi:type="dcterms:W3CDTF">2026-03-15T12:14:00Z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