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Installation, Deployment, References &amp; Conclusion</w:t>
      </w:r>
    </w:p>
    <w:p>
      <w:pPr>
        <w:pStyle w:val="Heading2"/>
      </w:pPr>
      <w:r>
        <w:t>7.1 Installation &amp; Environment Setup</w:t>
      </w:r>
    </w:p>
    <w:p>
      <w:pPr>
        <w:spacing w:line="360" w:lineRule="auto" w:before="0" w:after="120"/>
        <w:jc w:val="both"/>
      </w:pPr>
      <w:r>
        <w:rPr>
          <w:rFonts w:ascii="Times New Roman" w:hAnsi="Times New Roman"/>
          <w:sz w:val="24"/>
        </w:rPr>
        <w:t>The JS Pulse OHMS deployment at the Jindal Steel plant in Patratu requires a precise, documented environment setup to ensure stability and compatibility across target clinic workstations. Because the system is designed to run in a fully offline desktop environment, all runtime frameworks and dependencies are compiled and bundled directly into the installation package. The following sections outline the hardware, software, runtime installation steps, directory configurations, and core build structures.</w:t>
      </w:r>
    </w:p>
    <w:p>
      <w:pPr>
        <w:pStyle w:val="Heading3"/>
      </w:pPr>
      <w:r>
        <w:t>7.1.1 Hardware and Software Prerequisites</w:t>
      </w:r>
    </w:p>
    <w:p>
      <w:pPr>
        <w:spacing w:line="360" w:lineRule="auto" w:before="0" w:after="120"/>
        <w:jc w:val="both"/>
      </w:pPr>
      <w:r>
        <w:rPr>
          <w:rFonts w:ascii="Times New Roman" w:hAnsi="Times New Roman"/>
          <w:sz w:val="24"/>
        </w:rPr>
        <w:t>Before beginning installation, the target system must satisfy the following hardware and software parameters:</w:t>
      </w:r>
    </w:p>
    <w:p>
      <w:pPr>
        <w:pStyle w:val="ListBullet"/>
        <w:spacing w:line="360" w:lineRule="auto" w:before="0" w:after="80"/>
        <w:ind w:left="360"/>
      </w:pPr>
      <w:r>
        <w:rPr>
          <w:rFonts w:ascii="Times New Roman" w:hAnsi="Times New Roman"/>
          <w:sz w:val="24"/>
        </w:rPr>
        <w:t>Hardware: A workstation with an Intel i3 (or AMD equivalent) 8th generation processor or newer, a minimum of 4 GB DDR4 RAM (8 GB recommended), and at least 500 MB of available storage for the application bin files and database object stores.</w:t>
      </w:r>
    </w:p>
    <w:p>
      <w:pPr>
        <w:pStyle w:val="ListBullet"/>
        <w:spacing w:line="360" w:lineRule="auto" w:before="0" w:after="80"/>
        <w:ind w:left="360"/>
      </w:pPr>
      <w:r>
        <w:rPr>
          <w:rFonts w:ascii="Times New Roman" w:hAnsi="Times New Roman"/>
          <w:sz w:val="24"/>
        </w:rPr>
        <w:t>Operating System: Microsoft Windows 10 (version 1909 or later) or Windows 11 (64-bit architecture is required).</w:t>
      </w:r>
    </w:p>
    <w:p>
      <w:pPr>
        <w:pStyle w:val="ListBullet"/>
        <w:spacing w:line="360" w:lineRule="auto" w:before="0" w:after="80"/>
        <w:ind w:left="360"/>
      </w:pPr>
      <w:r>
        <w:rPr>
          <w:rFonts w:ascii="Times New Roman" w:hAnsi="Times New Roman"/>
          <w:sz w:val="24"/>
        </w:rPr>
        <w:t>Prerequisites: Microsoft Visual C++ Redistributable 2022 is required for Electron's native filesystem bindings to compile and execute properly.</w:t>
      </w:r>
    </w:p>
    <w:p>
      <w:pPr>
        <w:pStyle w:val="Heading3"/>
      </w:pPr>
      <w:r>
        <w:t>7.1.2 Development Environment Configuration</w:t>
      </w:r>
    </w:p>
    <w:p>
      <w:pPr>
        <w:spacing w:line="360" w:lineRule="auto" w:before="0" w:after="120"/>
        <w:jc w:val="both"/>
      </w:pPr>
      <w:r>
        <w:rPr>
          <w:rFonts w:ascii="Times New Roman" w:hAnsi="Times New Roman"/>
          <w:sz w:val="24"/>
        </w:rPr>
        <w:t>For maintenance engineers setting up a new development environment or compiling the code from source, the installation sequence is structured as follows:</w:t>
      </w:r>
    </w:p>
    <w:p>
      <w:pPr>
        <w:pStyle w:val="ListBullet"/>
        <w:spacing w:line="360" w:lineRule="auto" w:before="0" w:after="80"/>
        <w:ind w:left="360"/>
      </w:pPr>
      <w:r>
        <w:rPr>
          <w:rFonts w:ascii="Times New Roman" w:hAnsi="Times New Roman"/>
          <w:sz w:val="24"/>
        </w:rPr>
        <w:t>Node.js Installation: Download and install Node.js v20.12.2 LTS. This version is selected to align with Electron v29.1's internal V8 engine version, ensuring that native binary modules do not throw ABI mismatch errors.</w:t>
      </w:r>
    </w:p>
    <w:p>
      <w:pPr>
        <w:pStyle w:val="ListBullet"/>
        <w:spacing w:line="360" w:lineRule="auto" w:before="0" w:after="80"/>
        <w:ind w:left="360"/>
      </w:pPr>
      <w:r>
        <w:rPr>
          <w:rFonts w:ascii="Times New Roman" w:hAnsi="Times New Roman"/>
          <w:sz w:val="24"/>
        </w:rPr>
        <w:t>Repository Cloning: Clone the project code package into the target deployment workspace. The active project layout must conform to the standard structure shown in Listing 7.1.</w:t>
      </w:r>
    </w:p>
    <w:p>
      <w:pPr>
        <w:pStyle w:val="ListBullet"/>
        <w:spacing w:line="360" w:lineRule="auto" w:before="0" w:after="80"/>
        <w:ind w:left="360"/>
      </w:pPr>
      <w:r>
        <w:rPr>
          <w:rFonts w:ascii="Times New Roman" w:hAnsi="Times New Roman"/>
          <w:sz w:val="24"/>
        </w:rPr>
        <w:t>Dependency Resolution: From the project root directory, run npm install to resolve and fetch the required dependencies. This installs React 19, Lucide React, SheetJS, JSPDF, and Electron DevDependencies.</w:t>
      </w:r>
    </w:p>
    <w:p>
      <w:pPr>
        <w:spacing w:line="240" w:lineRule="auto" w:before="0" w:after="0"/>
        <w:ind w:left="720"/>
      </w:pPr>
      <w:r>
        <w:rPr>
          <w:rFonts w:ascii="Courier New" w:hAnsi="Courier New"/>
          <w:sz w:val="18"/>
        </w:rPr>
        <w:t>JSPulse-OHMS/</w:t>
      </w:r>
    </w:p>
    <w:p>
      <w:pPr>
        <w:spacing w:line="240" w:lineRule="auto" w:before="0" w:after="0"/>
        <w:ind w:left="720"/>
      </w:pPr>
      <w:r>
        <w:rPr>
          <w:rFonts w:ascii="Courier New" w:hAnsi="Courier New"/>
          <w:sz w:val="18"/>
        </w:rPr>
        <w:t>├── electron/</w:t>
      </w:r>
    </w:p>
    <w:p>
      <w:pPr>
        <w:spacing w:line="240" w:lineRule="auto" w:before="0" w:after="0"/>
        <w:ind w:left="720"/>
      </w:pPr>
      <w:r>
        <w:rPr>
          <w:rFonts w:ascii="Courier New" w:hAnsi="Courier New"/>
          <w:sz w:val="18"/>
        </w:rPr>
        <w:t>│   ├── main.js        # Main Electron process controller</w:t>
      </w:r>
    </w:p>
    <w:p>
      <w:pPr>
        <w:spacing w:line="240" w:lineRule="auto" w:before="0" w:after="0"/>
        <w:ind w:left="720"/>
      </w:pPr>
      <w:r>
        <w:rPr>
          <w:rFonts w:ascii="Courier New" w:hAnsi="Courier New"/>
          <w:sz w:val="18"/>
        </w:rPr>
        <w:t>│   └── preload.js     # Context bridge IPC script</w:t>
      </w:r>
    </w:p>
    <w:p>
      <w:pPr>
        <w:spacing w:line="240" w:lineRule="auto" w:before="0" w:after="0"/>
        <w:ind w:left="720"/>
      </w:pPr>
      <w:r>
        <w:rPr>
          <w:rFonts w:ascii="Courier New" w:hAnsi="Courier New"/>
          <w:sz w:val="18"/>
        </w:rPr>
        <w:t>├── src/</w:t>
      </w:r>
    </w:p>
    <w:p>
      <w:pPr>
        <w:spacing w:line="240" w:lineRule="auto" w:before="0" w:after="0"/>
        <w:ind w:left="720"/>
      </w:pPr>
      <w:r>
        <w:rPr>
          <w:rFonts w:ascii="Courier New" w:hAnsi="Courier New"/>
          <w:sz w:val="18"/>
        </w:rPr>
        <w:t>│   ├── components/    # React functional view layers (OPD, Pharmacy, etc.)</w:t>
      </w:r>
    </w:p>
    <w:p>
      <w:pPr>
        <w:spacing w:line="240" w:lineRule="auto" w:before="0" w:after="0"/>
        <w:ind w:left="720"/>
      </w:pPr>
      <w:r>
        <w:rPr>
          <w:rFonts w:ascii="Courier New" w:hAnsi="Courier New"/>
          <w:sz w:val="18"/>
        </w:rPr>
        <w:t>│   ├── utils/         # sheetDB.js, chatBrain.js, and helper functions</w:t>
      </w:r>
    </w:p>
    <w:p>
      <w:pPr>
        <w:spacing w:line="240" w:lineRule="auto" w:before="0" w:after="0"/>
        <w:ind w:left="720"/>
      </w:pPr>
      <w:r>
        <w:rPr>
          <w:rFonts w:ascii="Courier New" w:hAnsi="Courier New"/>
          <w:sz w:val="18"/>
        </w:rPr>
        <w:t>│   ├── App.jsx        # Routing configuration and main layout</w:t>
      </w:r>
    </w:p>
    <w:p>
      <w:pPr>
        <w:spacing w:line="240" w:lineRule="auto" w:before="0" w:after="0"/>
        <w:ind w:left="720"/>
      </w:pPr>
      <w:r>
        <w:rPr>
          <w:rFonts w:ascii="Courier New" w:hAnsi="Courier New"/>
          <w:sz w:val="18"/>
        </w:rPr>
        <w:t>│   └── main.jsx       # Entry script with localStorage proxy override</w:t>
      </w:r>
    </w:p>
    <w:p>
      <w:pPr>
        <w:spacing w:line="240" w:lineRule="auto" w:before="0" w:after="0"/>
        <w:ind w:left="720"/>
      </w:pPr>
      <w:r>
        <w:rPr>
          <w:rFonts w:ascii="Courier New" w:hAnsi="Courier New"/>
          <w:sz w:val="18"/>
        </w:rPr>
        <w:t>├── public/            # Static assets and icons</w:t>
      </w:r>
    </w:p>
    <w:p>
      <w:pPr>
        <w:spacing w:line="240" w:lineRule="auto" w:before="0" w:after="0"/>
        <w:ind w:left="720"/>
      </w:pPr>
      <w:r>
        <w:rPr>
          <w:rFonts w:ascii="Courier New" w:hAnsi="Courier New"/>
          <w:sz w:val="18"/>
        </w:rPr>
        <w:t>├── package.json       # Project configurations and dependency listings</w:t>
      </w:r>
    </w:p>
    <w:p>
      <w:pPr>
        <w:spacing w:line="240" w:lineRule="auto" w:before="0" w:after="0"/>
        <w:ind w:left="720"/>
      </w:pPr>
      <w:r>
        <w:rPr>
          <w:rFonts w:ascii="Courier New" w:hAnsi="Courier New"/>
          <w:sz w:val="18"/>
        </w:rPr>
        <w:t>└── vite.config.js     # Dev server and bundler settings</w:t>
      </w:r>
    </w:p>
    <w:p>
      <w:pPr>
        <w:spacing w:before="80" w:after="240"/>
        <w:jc w:val="center"/>
      </w:pPr>
      <w:r>
        <w:rPr>
          <w:rFonts w:ascii="Times New Roman" w:hAnsi="Times New Roman"/>
          <w:i/>
          <w:sz w:val="20"/>
        </w:rPr>
        <w:t>Code Listing 7.1: JS Pulse OHMS Development Environment Directory Layout</w:t>
      </w:r>
    </w:p>
    <w:p>
      <w:pPr>
        <w:pStyle w:val="Heading3"/>
      </w:pPr>
      <w:r>
        <w:t>7.1.3 Build &amp; Run Commands</w:t>
      </w:r>
    </w:p>
    <w:p>
      <w:pPr>
        <w:spacing w:line="360" w:lineRule="auto" w:before="0" w:after="120"/>
        <w:jc w:val="both"/>
      </w:pPr>
      <w:r>
        <w:rPr>
          <w:rFonts w:ascii="Times New Roman" w:hAnsi="Times New Roman"/>
          <w:sz w:val="24"/>
        </w:rPr>
        <w:t>The development server is started using Vite, providing hot module replacement (HMR) for the Renderer UI, while Electron is launched simultaneously using a watch script defined in package.json. The CLI commands used during testing, building, and development packaging are listed below:</w:t>
      </w:r>
    </w:p>
    <w:p>
      <w:pPr>
        <w:spacing w:line="240" w:lineRule="auto" w:before="0" w:after="0"/>
        <w:ind w:left="720"/>
      </w:pPr>
      <w:r>
        <w:rPr>
          <w:rFonts w:ascii="Courier New" w:hAnsi="Courier New"/>
          <w:sz w:val="18"/>
        </w:rPr>
        <w:t># Start dev environment with hot-reloading</w:t>
      </w:r>
    </w:p>
    <w:p>
      <w:pPr>
        <w:spacing w:line="240" w:lineRule="auto" w:before="0" w:after="0"/>
        <w:ind w:left="720"/>
      </w:pPr>
      <w:r>
        <w:rPr>
          <w:rFonts w:ascii="Courier New" w:hAnsi="Courier New"/>
          <w:sz w:val="18"/>
        </w:rPr>
        <w:t>npm run dev</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Compile React frontend to static assets</w:t>
      </w:r>
    </w:p>
    <w:p>
      <w:pPr>
        <w:spacing w:line="240" w:lineRule="auto" w:before="0" w:after="0"/>
        <w:ind w:left="720"/>
      </w:pPr>
      <w:r>
        <w:rPr>
          <w:rFonts w:ascii="Courier New" w:hAnsi="Courier New"/>
          <w:sz w:val="18"/>
        </w:rPr>
        <w:t>npm run build</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Run application inside Electron container</w:t>
      </w:r>
    </w:p>
    <w:p>
      <w:pPr>
        <w:spacing w:line="240" w:lineRule="auto" w:before="0" w:after="0"/>
        <w:ind w:left="720"/>
      </w:pPr>
      <w:r>
        <w:rPr>
          <w:rFonts w:ascii="Courier New" w:hAnsi="Courier New"/>
          <w:sz w:val="18"/>
        </w:rPr>
        <w:t>npm run electron:start</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Compile and package application into Windows .exe installer</w:t>
      </w:r>
    </w:p>
    <w:p>
      <w:pPr>
        <w:spacing w:line="240" w:lineRule="auto" w:before="0" w:after="0"/>
        <w:ind w:left="720"/>
      </w:pPr>
      <w:r>
        <w:rPr>
          <w:rFonts w:ascii="Courier New" w:hAnsi="Courier New"/>
          <w:sz w:val="18"/>
        </w:rPr>
        <w:t>npm run package</w:t>
      </w:r>
    </w:p>
    <w:p>
      <w:pPr>
        <w:spacing w:before="80" w:after="240"/>
        <w:jc w:val="center"/>
      </w:pPr>
      <w:r>
        <w:rPr>
          <w:rFonts w:ascii="Times New Roman" w:hAnsi="Times New Roman"/>
          <w:i/>
          <w:sz w:val="20"/>
        </w:rPr>
        <w:t>Code Listing 7.2: Build, Compilation, and Development Runtime CLI Commands</w:t>
      </w:r>
    </w:p>
    <w:p>
      <w:pPr>
        <w:pStyle w:val="Heading2"/>
      </w:pPr>
      <w:r>
        <w:t>7.2 Build Process &amp; Deployment</w:t>
      </w:r>
    </w:p>
    <w:p>
      <w:pPr>
        <w:spacing w:line="360" w:lineRule="auto" w:before="0" w:after="120"/>
        <w:jc w:val="both"/>
      </w:pPr>
      <w:r>
        <w:rPr>
          <w:rFonts w:ascii="Times New Roman" w:hAnsi="Times New Roman"/>
          <w:sz w:val="24"/>
        </w:rPr>
        <w:t>The build and deployment process converts the human-readable React and Node.js source files into a production-grade Windows desktop application. Because the target clinic workstations are not connected to the internet, the deployment pipeline must compile all frontend assets, copy native assets, resolve dependency paths, and generate a self-contained offline installer.</w:t>
      </w:r>
    </w:p>
    <w:p>
      <w:pPr>
        <w:pStyle w:val="Heading3"/>
      </w:pPr>
      <w:r>
        <w:t>7.2.1 Frontend Compilation and Packaging</w:t>
      </w:r>
    </w:p>
    <w:p>
      <w:pPr>
        <w:spacing w:line="360" w:lineRule="auto" w:before="0" w:after="120"/>
        <w:jc w:val="both"/>
      </w:pPr>
      <w:r>
        <w:rPr>
          <w:rFonts w:ascii="Times New Roman" w:hAnsi="Times New Roman"/>
          <w:sz w:val="24"/>
        </w:rPr>
        <w:t>The build process consists of three main phases:</w:t>
      </w:r>
    </w:p>
    <w:p>
      <w:pPr>
        <w:pStyle w:val="ListBullet"/>
        <w:spacing w:line="360" w:lineRule="auto" w:before="0" w:after="80"/>
        <w:ind w:left="360"/>
      </w:pPr>
      <w:r>
        <w:rPr>
          <w:rFonts w:ascii="Times New Roman" w:hAnsi="Times New Roman"/>
          <w:sz w:val="24"/>
        </w:rPr>
        <w:t>Vite Frontend Compilation: Running 'npm run build' compiles the React 19 application. Vite reads the entries in index.html, runs the ESBuild compiler to bundle the Javascript modules, and processes all CSS assets, outputting the optimized bundle to the /dist folder.</w:t>
      </w:r>
    </w:p>
    <w:p>
      <w:pPr>
        <w:pStyle w:val="ListBullet"/>
        <w:spacing w:line="360" w:lineRule="auto" w:before="0" w:after="80"/>
        <w:ind w:left="360"/>
      </w:pPr>
      <w:r>
        <w:rPr>
          <w:rFonts w:ascii="Times New Roman" w:hAnsi="Times New Roman"/>
          <w:sz w:val="24"/>
        </w:rPr>
        <w:t>Asset Optimization: Unused import code is removed through tree-shaking, and CSS styles are minified to reduce memory overhead and speed up component mounting on slower clinic computers.</w:t>
      </w:r>
    </w:p>
    <w:p>
      <w:pPr>
        <w:pStyle w:val="ListBullet"/>
        <w:spacing w:line="360" w:lineRule="auto" w:before="0" w:after="80"/>
        <w:ind w:left="360"/>
      </w:pPr>
      <w:r>
        <w:rPr>
          <w:rFonts w:ascii="Times New Roman" w:hAnsi="Times New Roman"/>
          <w:sz w:val="24"/>
        </w:rPr>
        <w:t>Electron Packaging: The electron-builder tool is invoked to bundle the compiled /dist folder, the electron/main.js and preload.js scripts, and a lightweight Node.js runtime into a single Windows NSIS installer.</w:t>
      </w:r>
    </w:p>
    <w:p>
      <w:pPr>
        <w:pStyle w:val="Heading3"/>
      </w:pPr>
      <w:r>
        <w:t>7.2.2 Deployment and Common Troubleshooting</w:t>
      </w:r>
    </w:p>
    <w:p>
      <w:pPr>
        <w:spacing w:line="360" w:lineRule="auto" w:before="0" w:after="120"/>
        <w:jc w:val="both"/>
      </w:pPr>
      <w:r>
        <w:rPr>
          <w:rFonts w:ascii="Times New Roman" w:hAnsi="Times New Roman"/>
          <w:sz w:val="24"/>
        </w:rPr>
        <w:t>The resulting installer, JSPulse-OHMS-Setup-x64.exe, is copied to a USB drive and run on the clinic workstations. On launch, the NSIS installer copies the bin files, registers shortcuts, and creates the default local data directory at C:\OHSData\ to store JSON backups and system exports.</w:t>
      </w:r>
    </w:p>
    <w:p>
      <w:pPr>
        <w:spacing w:line="360" w:lineRule="auto" w:before="0" w:after="120"/>
        <w:jc w:val="both"/>
      </w:pPr>
      <w:r>
        <w:rPr>
          <w:rFonts w:ascii="Times New Roman" w:hAnsi="Times New Roman"/>
          <w:sz w:val="24"/>
        </w:rPr>
        <w:t>Common deployment issues and their solutions include:</w:t>
      </w:r>
    </w:p>
    <w:p>
      <w:pPr>
        <w:pStyle w:val="ListBullet"/>
        <w:spacing w:line="360" w:lineRule="auto" w:before="0" w:after="80"/>
        <w:ind w:left="360"/>
      </w:pPr>
      <w:r>
        <w:rPr>
          <w:rFonts w:ascii="Times New Roman" w:hAnsi="Times New Roman"/>
          <w:sz w:val="24"/>
        </w:rPr>
        <w:t>Windows Defender SmartScreen Alerts: This alert occurs because the application does not have a commercial code-signing certificate. The installer can be run safely by clicking 'More info' and selecting 'Run anyway'.</w:t>
      </w:r>
    </w:p>
    <w:p>
      <w:pPr>
        <w:pStyle w:val="ListBullet"/>
        <w:spacing w:line="360" w:lineRule="auto" w:before="0" w:after="80"/>
        <w:ind w:left="360"/>
      </w:pPr>
      <w:r>
        <w:rPr>
          <w:rFonts w:ascii="Times New Roman" w:hAnsi="Times New Roman"/>
          <w:sz w:val="24"/>
        </w:rPr>
        <w:t>Write Access Denied to C:\OHSData: This issue occurs if the Windows user account lacks administrative privileges. The solution is to right-click the installer and select 'Run as Administrator', or manually configure full access permissions on the C:\OHSData directory.</w:t>
      </w:r>
    </w:p>
    <w:p>
      <w:pPr>
        <w:pStyle w:val="ListBullet"/>
        <w:spacing w:line="360" w:lineRule="auto" w:before="0" w:after="80"/>
        <w:ind w:left="360"/>
      </w:pPr>
      <w:r>
        <w:rPr>
          <w:rFonts w:ascii="Times New Roman" w:hAnsi="Times New Roman"/>
          <w:sz w:val="24"/>
        </w:rPr>
        <w:t>IndexedDB Corruption Warnings: If database files are corrupted due to sudden power outages, click the 'Reset Connection' button in the System Settings tab to run the auto-recovery routine, which deletes and re-initializes the IndexedDB schema.</w:t>
      </w:r>
    </w:p>
    <w:p>
      <w:pPr>
        <w:pStyle w:val="Heading2"/>
      </w:pPr>
      <w:r>
        <w:t>7.3 Testing Methodologies &amp; Security Validation</w:t>
      </w:r>
    </w:p>
    <w:p>
      <w:pPr>
        <w:spacing w:line="360" w:lineRule="auto" w:before="0" w:after="120"/>
        <w:jc w:val="both"/>
      </w:pPr>
      <w:r>
        <w:rPr>
          <w:rFonts w:ascii="Times New Roman" w:hAnsi="Times New Roman"/>
          <w:sz w:val="24"/>
        </w:rPr>
        <w:t>To verify the application's stability and security for clinical use, the development team implemented a rigorous testing pipeline. This testing verified that the system remains responsive under load and securely isolates clinical records on local storage.</w:t>
      </w:r>
    </w:p>
    <w:p>
      <w:pPr>
        <w:pStyle w:val="Heading3"/>
      </w:pPr>
      <w:r>
        <w:t>7.3.1 Software Testing Strategy</w:t>
      </w:r>
    </w:p>
    <w:p>
      <w:pPr>
        <w:spacing w:line="360" w:lineRule="auto" w:before="0" w:after="120"/>
        <w:jc w:val="both"/>
      </w:pPr>
      <w:r>
        <w:rPr>
          <w:rFonts w:ascii="Times New Roman" w:hAnsi="Times New Roman"/>
          <w:sz w:val="24"/>
        </w:rPr>
        <w:t>The testing strategy follows a structured bottom-up testing pipeline, covering:</w:t>
      </w:r>
    </w:p>
    <w:p>
      <w:pPr>
        <w:pStyle w:val="ListBullet"/>
        <w:spacing w:line="360" w:lineRule="auto" w:before="0" w:after="80"/>
        <w:ind w:left="360"/>
      </w:pPr>
      <w:r>
        <w:rPr>
          <w:rFonts w:ascii="Times New Roman" w:hAnsi="Times New Roman"/>
          <w:sz w:val="24"/>
        </w:rPr>
        <w:t>Unit Testing: Individual functional units, such as the recursive spreadsheet formula parser and case-insensitive stock deduction calculations, were verified in isolation using in-memory mock datasets.</w:t>
      </w:r>
    </w:p>
    <w:p>
      <w:pPr>
        <w:pStyle w:val="ListBullet"/>
        <w:spacing w:line="360" w:lineRule="auto" w:before="0" w:after="80"/>
        <w:ind w:left="360"/>
      </w:pPr>
      <w:r>
        <w:rPr>
          <w:rFonts w:ascii="Times New Roman" w:hAnsi="Times New Roman"/>
          <w:sz w:val="24"/>
        </w:rPr>
        <w:t>Integration Testing: This phase validated the interaction between modules. For example, testing verified that the background sync engine correctly queries cms_daily_opd_sheet and creates new entries in cms_dispense_log without duplicate processing.</w:t>
      </w:r>
    </w:p>
    <w:p>
      <w:pPr>
        <w:pStyle w:val="ListBullet"/>
        <w:spacing w:line="360" w:lineRule="auto" w:before="0" w:after="80"/>
        <w:ind w:left="360"/>
      </w:pPr>
      <w:r>
        <w:rPr>
          <w:rFonts w:ascii="Times New Roman" w:hAnsi="Times New Roman"/>
          <w:sz w:val="24"/>
        </w:rPr>
        <w:t>Functional Testing: User acceptance testing was conducted with the clinic nursing staff to ensure that workflows—such as patient check-in, prescription entry, and stock adjustment—operate smoothly.</w:t>
      </w:r>
    </w:p>
    <w:p>
      <w:pPr>
        <w:pStyle w:val="Heading3"/>
      </w:pPr>
      <w:r>
        <w:t>7.3.2 Security Validation and Error Isolation</w:t>
      </w:r>
    </w:p>
    <w:p>
      <w:pPr>
        <w:spacing w:line="360" w:lineRule="auto" w:before="0" w:after="120"/>
        <w:jc w:val="both"/>
      </w:pPr>
      <w:r>
        <w:rPr>
          <w:rFonts w:ascii="Times New Roman" w:hAnsi="Times New Roman"/>
          <w:sz w:val="24"/>
        </w:rPr>
        <w:t>Security testing focused on verifying the separation of the web UI from native Node.js APIs. The contextBridge interface was audited to confirm that no raw Node.js modules are exposed to the global window scope. Attempts to call Node's fs or path modules from the browser dev console confirmed that the sandbox is secure. Error handling was validated by simulating storage issues (such as filling local storage to the 5MB browser quota). The system successfully handled this by migrating aging records to IndexedDB and saving emergency JSON backups to the local filesystem without data loss.</w:t>
      </w:r>
    </w:p>
    <w:p>
      <w:r>
        <w:br w:type="page"/>
      </w:r>
    </w:p>
    <w:p>
      <w:pPr>
        <w:pStyle w:val="Heading2"/>
      </w:pPr>
      <w:r>
        <w:t>7.4 Conclusion &amp; Future Enhancements</w:t>
      </w:r>
    </w:p>
    <w:p>
      <w:pPr>
        <w:spacing w:line="360" w:lineRule="auto" w:before="0" w:after="120"/>
        <w:jc w:val="both"/>
      </w:pPr>
      <w:r>
        <w:rPr>
          <w:rFonts w:ascii="Times New Roman" w:hAnsi="Times New Roman"/>
          <w:sz w:val="24"/>
        </w:rPr>
        <w:t>The development and deployment of JS Pulse OHMS at the Jindal Steel plant in Patratu successfully addresses the clinic's core administrative challenges. It replaces manual paper record-keeping with a secure, responsive, offline-first clinical application.</w:t>
      </w:r>
    </w:p>
    <w:p>
      <w:pPr>
        <w:pStyle w:val="Heading3"/>
      </w:pPr>
      <w:r>
        <w:t>7.4.1 Learning Outcomes and Skills Gained</w:t>
      </w:r>
    </w:p>
    <w:p>
      <w:pPr>
        <w:spacing w:line="360" w:lineRule="auto" w:before="0" w:after="120"/>
        <w:jc w:val="both"/>
      </w:pPr>
      <w:r>
        <w:rPr>
          <w:rFonts w:ascii="Times New Roman" w:hAnsi="Times New Roman"/>
          <w:sz w:val="24"/>
        </w:rPr>
        <w:t>The internship project provided valuable experience in building production desktop applications using modern web technologies. Key learning outcomes and skills gained include:</w:t>
      </w:r>
    </w:p>
    <w:p>
      <w:pPr>
        <w:pStyle w:val="ListBullet"/>
        <w:spacing w:line="360" w:lineRule="auto" w:before="0" w:after="80"/>
        <w:ind w:left="360"/>
      </w:pPr>
      <w:r>
        <w:rPr>
          <w:rFonts w:ascii="Times New Roman" w:hAnsi="Times New Roman"/>
          <w:sz w:val="24"/>
        </w:rPr>
        <w:t>Process Separation Architecture: Gained experience in designing and securing Electron applications using process isolation, context preloading, and safe IPC communication channels.</w:t>
      </w:r>
    </w:p>
    <w:p>
      <w:pPr>
        <w:pStyle w:val="ListBullet"/>
        <w:spacing w:line="360" w:lineRule="auto" w:before="0" w:after="80"/>
        <w:ind w:left="360"/>
      </w:pPr>
      <w:r>
        <w:rPr>
          <w:rFonts w:ascii="Times New Roman" w:hAnsi="Times New Roman"/>
          <w:sz w:val="24"/>
        </w:rPr>
        <w:t>DOM Virtualization: Implemented performance optimizations for large-scale data grids using custom viewport calculations and dynamic spacer heights.</w:t>
      </w:r>
    </w:p>
    <w:p>
      <w:pPr>
        <w:pStyle w:val="ListBullet"/>
        <w:spacing w:line="360" w:lineRule="auto" w:before="0" w:after="80"/>
        <w:ind w:left="360"/>
      </w:pPr>
      <w:r>
        <w:rPr>
          <w:rFonts w:ascii="Times New Roman" w:hAnsi="Times New Roman"/>
          <w:sz w:val="24"/>
        </w:rPr>
        <w:t>Offline Storage and Connection Pools: Designed resilient local databases using IndexedDB connection pooling and transparent localStorage proxy interception.</w:t>
      </w:r>
    </w:p>
    <w:p>
      <w:pPr>
        <w:pStyle w:val="ListBullet"/>
        <w:spacing w:line="360" w:lineRule="auto" w:before="0" w:after="80"/>
        <w:ind w:left="360"/>
      </w:pPr>
      <w:r>
        <w:rPr>
          <w:rFonts w:ascii="Times New Roman" w:hAnsi="Times New Roman"/>
          <w:sz w:val="24"/>
        </w:rPr>
        <w:t>Industrial Safety and Compliance: Developed an understanding of industrial health requirements, chemical exposure tracking, and compliance reporting under the Factories Act, 1948.</w:t>
      </w:r>
    </w:p>
    <w:p>
      <w:pPr>
        <w:pStyle w:val="Heading3"/>
      </w:pPr>
      <w:r>
        <w:t>7.4.2 Advantages and Limitations of JS Pulse OHMS</w:t>
      </w:r>
    </w:p>
    <w:p>
      <w:pPr>
        <w:spacing w:line="360" w:lineRule="auto" w:before="0" w:after="120"/>
        <w:jc w:val="both"/>
      </w:pPr>
      <w:r>
        <w:rPr>
          <w:rFonts w:ascii="Times New Roman" w:hAnsi="Times New Roman"/>
          <w:sz w:val="24"/>
        </w:rPr>
        <w:t>The application offers several key advantages for the plant clinic: it operates fully offline, preventing issues from network drops; features a familiar, Excel-like data grid; uses a debounced instant search interface; and automatically syncs prescriptions between the OPD and pharmacy modules. However, the current implementation has a few limitations: it runs on a single desktop workstation, meaning data cannot be shared across multiple computers in real time; backups must be managed locally on the host hard drive; and the local NLP assistant relies on regular expression matching, which requires precise keyword usage.</w:t>
      </w:r>
    </w:p>
    <w:p>
      <w:pPr>
        <w:pStyle w:val="Heading3"/>
      </w:pPr>
      <w:r>
        <w:t>7.4.3 Future Scope and Enhancements</w:t>
      </w:r>
    </w:p>
    <w:p>
      <w:pPr>
        <w:spacing w:line="360" w:lineRule="auto" w:before="0" w:after="120"/>
        <w:jc w:val="both"/>
      </w:pPr>
      <w:r>
        <w:rPr>
          <w:rFonts w:ascii="Times New Roman" w:hAnsi="Times New Roman"/>
          <w:sz w:val="24"/>
        </w:rPr>
        <w:t>Planned future updates for the system include:</w:t>
      </w:r>
    </w:p>
    <w:p>
      <w:pPr>
        <w:pStyle w:val="ListBullet"/>
        <w:spacing w:line="360" w:lineRule="auto" w:before="0" w:after="80"/>
        <w:ind w:left="360"/>
      </w:pPr>
      <w:r>
        <w:rPr>
          <w:rFonts w:ascii="Times New Roman" w:hAnsi="Times New Roman"/>
          <w:sz w:val="24"/>
        </w:rPr>
        <w:t>Local Peer-to-Peer Synchronization: Implementing a local network synchronization protocol (such as Yjs or CouchDB sync) to allow multiple clinic computers to share data in real time without requiring an internet connection.</w:t>
      </w:r>
    </w:p>
    <w:p>
      <w:pPr>
        <w:pStyle w:val="ListBullet"/>
        <w:spacing w:line="360" w:lineRule="auto" w:before="0" w:after="80"/>
        <w:ind w:left="360"/>
      </w:pPr>
      <w:r>
        <w:rPr>
          <w:rFonts w:ascii="Times New Roman" w:hAnsi="Times New Roman"/>
          <w:sz w:val="24"/>
        </w:rPr>
        <w:t>Automated Encrypted Backups: Adding support for automated, encrypted backups to the plant's local NAS (Network Attached Storage) to protect against workstation hardware failures.</w:t>
      </w:r>
    </w:p>
    <w:p>
      <w:pPr>
        <w:pStyle w:val="ListBullet"/>
        <w:spacing w:line="360" w:lineRule="auto" w:before="0" w:after="80"/>
        <w:ind w:left="360"/>
      </w:pPr>
      <w:r>
        <w:rPr>
          <w:rFonts w:ascii="Times New Roman" w:hAnsi="Times New Roman"/>
          <w:sz w:val="24"/>
        </w:rPr>
        <w:t>Local LLM Integration: Upgrading the local NLP chat assistant to run a small, quantized large language model (such as Llama-3-8B-Instruct via WebGPU) to provide more natural conversational support offline.</w:t>
      </w:r>
    </w:p>
    <w:p>
      <w:r>
        <w:br w:type="page"/>
      </w:r>
    </w:p>
    <w:p>
      <w:pPr>
        <w:pStyle w:val="Heading2"/>
      </w:pPr>
      <w:r>
        <w:t>7.5 References</w:t>
      </w:r>
    </w:p>
    <w:p>
      <w:pPr>
        <w:spacing w:line="360" w:lineRule="auto" w:before="0" w:after="120"/>
        <w:jc w:val="both"/>
      </w:pPr>
      <w:r>
        <w:rPr>
          <w:rFonts w:ascii="Times New Roman" w:hAnsi="Times New Roman"/>
          <w:sz w:val="24"/>
        </w:rPr>
        <w:t>The following references cite the official documentations, academic publications, and technical resources used to design, implement, and optimize the JS Pulse OHMS application:</w:t>
      </w:r>
    </w:p>
    <w:p>
      <w:pPr>
        <w:spacing w:line="360" w:lineRule="auto" w:before="0" w:after="120"/>
        <w:ind w:left="576" w:hanging="576"/>
        <w:jc w:val="both"/>
      </w:pPr>
      <w:r>
        <w:rPr>
          <w:rFonts w:ascii="Times New Roman" w:hAnsi="Times New Roman"/>
          <w:b/>
          <w:sz w:val="24"/>
        </w:rPr>
        <w:t xml:space="preserve">[1] </w:t>
      </w:r>
      <w:r>
        <w:rPr>
          <w:rFonts w:ascii="Times New Roman" w:hAnsi="Times New Roman"/>
          <w:sz w:val="24"/>
        </w:rPr>
        <w:t>Electron Documentation Team, "Electron Security Guidelines and Context Isolation," Electron Core Documentation, 2024. [Online]. Available: https://www.electronjs.org/docs/latest/tutorial/security. [Accessed: Jan. 15, 2026].</w:t>
      </w:r>
    </w:p>
    <w:p>
      <w:pPr>
        <w:spacing w:line="360" w:lineRule="auto" w:before="0" w:after="120"/>
        <w:ind w:left="576" w:hanging="576"/>
        <w:jc w:val="both"/>
      </w:pPr>
      <w:r>
        <w:rPr>
          <w:rFonts w:ascii="Times New Roman" w:hAnsi="Times New Roman"/>
          <w:b/>
          <w:sz w:val="24"/>
        </w:rPr>
        <w:t xml:space="preserve">[2] </w:t>
      </w:r>
      <w:r>
        <w:rPr>
          <w:rFonts w:ascii="Times New Roman" w:hAnsi="Times New Roman"/>
          <w:sz w:val="24"/>
        </w:rPr>
        <w:t>React Core Team, "React 19 Hooks and Rendering Performance Optimization," React Official Documentation, 2024. [Online]. Available: https://react.dev/reference/react. [Accessed: Feb. 10, 2026].</w:t>
      </w:r>
    </w:p>
    <w:p>
      <w:pPr>
        <w:spacing w:line="360" w:lineRule="auto" w:before="0" w:after="120"/>
        <w:ind w:left="576" w:hanging="576"/>
        <w:jc w:val="both"/>
      </w:pPr>
      <w:r>
        <w:rPr>
          <w:rFonts w:ascii="Times New Roman" w:hAnsi="Times New Roman"/>
          <w:b/>
          <w:sz w:val="24"/>
        </w:rPr>
        <w:t xml:space="preserve">[3] </w:t>
      </w:r>
      <w:r>
        <w:rPr>
          <w:rFonts w:ascii="Times New Roman" w:hAnsi="Times New Roman"/>
          <w:sz w:val="24"/>
        </w:rPr>
        <w:t>W3C Web Apps Working Group, "Indexed Database API 3.0 Specification," W3C Candidate Recommendation, May 2024. [Online]. Available: https://www.w3.org/TR/IndexedDB-3/. [Accessed: Mar. 05, 2026].</w:t>
      </w:r>
    </w:p>
    <w:p>
      <w:pPr>
        <w:spacing w:line="360" w:lineRule="auto" w:before="0" w:after="120"/>
        <w:ind w:left="576" w:hanging="576"/>
        <w:jc w:val="both"/>
      </w:pPr>
      <w:r>
        <w:rPr>
          <w:rFonts w:ascii="Times New Roman" w:hAnsi="Times New Roman"/>
          <w:b/>
          <w:sz w:val="24"/>
        </w:rPr>
        <w:t xml:space="preserve">[4] </w:t>
      </w:r>
      <w:r>
        <w:rPr>
          <w:rFonts w:ascii="Times New Roman" w:hAnsi="Times New Roman"/>
          <w:sz w:val="24"/>
        </w:rPr>
        <w:t>D. Flanagan, JavaScript: The Definitive Guide, 7th ed. Sebastopol, CA: O'Reilly Media, 2020.</w:t>
      </w:r>
    </w:p>
    <w:p>
      <w:pPr>
        <w:spacing w:line="360" w:lineRule="auto" w:before="0" w:after="120"/>
        <w:ind w:left="576" w:hanging="576"/>
        <w:jc w:val="both"/>
      </w:pPr>
      <w:r>
        <w:rPr>
          <w:rFonts w:ascii="Times New Roman" w:hAnsi="Times New Roman"/>
          <w:b/>
          <w:sz w:val="24"/>
        </w:rPr>
        <w:t xml:space="preserve">[5] </w:t>
      </w:r>
      <w:r>
        <w:rPr>
          <w:rFonts w:ascii="Times New Roman" w:hAnsi="Times New Roman"/>
          <w:sz w:val="24"/>
        </w:rPr>
        <w:t>Vite Core Team, "Vite 5.0 Production Bundling and ESBuild Configuration," Vite Guide, 2024. [Online]. Available: https://vitejs.dev/guide/build.html. [Accessed: Apr. 12, 2026].</w:t>
      </w:r>
    </w:p>
    <w:p>
      <w:pPr>
        <w:spacing w:line="360" w:lineRule="auto" w:before="0" w:after="120"/>
        <w:ind w:left="576" w:hanging="576"/>
        <w:jc w:val="both"/>
      </w:pPr>
      <w:r>
        <w:rPr>
          <w:rFonts w:ascii="Times New Roman" w:hAnsi="Times New Roman"/>
          <w:b/>
          <w:sz w:val="24"/>
        </w:rPr>
        <w:t xml:space="preserve">[6] </w:t>
      </w:r>
      <w:r>
        <w:rPr>
          <w:rFonts w:ascii="Times New Roman" w:hAnsi="Times New Roman"/>
          <w:sz w:val="24"/>
        </w:rPr>
        <w:t>Government of India, "The Factories Act, 1948: Provisions on Occupational Health and Welfare Centres," Ministry of Labour and Employment, Government of India, 1948.</w:t>
      </w:r>
    </w:p>
    <w:p>
      <w:pPr>
        <w:spacing w:line="360" w:lineRule="auto" w:before="0" w:after="120"/>
        <w:ind w:left="576" w:hanging="576"/>
        <w:jc w:val="both"/>
      </w:pPr>
      <w:r>
        <w:rPr>
          <w:rFonts w:ascii="Times New Roman" w:hAnsi="Times New Roman"/>
          <w:b/>
          <w:sz w:val="24"/>
        </w:rPr>
        <w:t xml:space="preserve">[7] </w:t>
      </w:r>
      <w:r>
        <w:rPr>
          <w:rFonts w:ascii="Times New Roman" w:hAnsi="Times New Roman"/>
          <w:sz w:val="24"/>
        </w:rPr>
        <w:t>M. Cantelon, M. Harter, T. J. Holowaychuk, and N. Rajlich, Node.js in Action, 2nd ed. Shelter Island, NY: Manning Publications, 2017.</w:t>
      </w:r>
    </w:p>
    <w:p>
      <w:pPr>
        <w:spacing w:line="360" w:lineRule="auto" w:before="0" w:after="120"/>
        <w:ind w:left="576" w:hanging="576"/>
        <w:jc w:val="both"/>
      </w:pPr>
      <w:r>
        <w:rPr>
          <w:rFonts w:ascii="Times New Roman" w:hAnsi="Times New Roman"/>
          <w:b/>
          <w:sz w:val="24"/>
        </w:rPr>
        <w:t xml:space="preserve">[8] </w:t>
      </w:r>
      <w:r>
        <w:rPr>
          <w:rFonts w:ascii="Times New Roman" w:hAnsi="Times New Roman"/>
          <w:sz w:val="24"/>
        </w:rPr>
        <w:t>IEEE Computer Society, "IEEE Standard for Software Test Documentation (IEEE Std 829-2008)," IEEE Software Engineering Standards, 2008.</w:t>
      </w:r>
    </w:p>
    <w:p>
      <w:pPr>
        <w:spacing w:line="360" w:lineRule="auto" w:before="0" w:after="120"/>
        <w:ind w:left="576" w:hanging="576"/>
        <w:jc w:val="both"/>
      </w:pPr>
      <w:r>
        <w:rPr>
          <w:rFonts w:ascii="Times New Roman" w:hAnsi="Times New Roman"/>
          <w:b/>
          <w:sz w:val="24"/>
        </w:rPr>
        <w:t xml:space="preserve">[9] </w:t>
      </w:r>
      <w:r>
        <w:rPr>
          <w:rFonts w:ascii="Times New Roman" w:hAnsi="Times New Roman"/>
          <w:sz w:val="24"/>
        </w:rPr>
        <w:t>A. Hunt and D. Thomas, The Pragmatic Programmer: Your Journey to Mastery, 20th Anniversary Edition. Boston, MA: Addison-Wesley, 2019.</w:t>
      </w:r>
    </w:p>
    <w:p>
      <w:pPr>
        <w:spacing w:line="360" w:lineRule="auto" w:before="0" w:after="120"/>
        <w:ind w:left="576" w:hanging="576"/>
        <w:jc w:val="both"/>
      </w:pPr>
      <w:r>
        <w:rPr>
          <w:rFonts w:ascii="Times New Roman" w:hAnsi="Times New Roman"/>
          <w:b/>
          <w:sz w:val="24"/>
        </w:rPr>
        <w:t xml:space="preserve">[10] </w:t>
      </w:r>
      <w:r>
        <w:rPr>
          <w:rFonts w:ascii="Times New Roman" w:hAnsi="Times New Roman"/>
          <w:sz w:val="24"/>
        </w:rPr>
        <w:t>World Health Organization, "ICD-11: International Classification of Diseases for Mortality and Morbidity Statistics," WHO Geneva, 2022.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