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Network Operations Strategy Memo</w:t>
      </w:r>
    </w:p>
    <w:p>
      <w:r>
        <w:t>Date: May 22, 2026</w:t>
      </w:r>
    </w:p>
    <w:p>
      <w:r>
        <w:t>To: Head of Network Operations, Delhivery</w:t>
      </w:r>
    </w:p>
    <w:p>
      <w:r>
        <w:t>From: Data Science Team</w:t>
      </w:r>
    </w:p>
    <w:p>
      <w:r>
        <w:t>Re: Graph-Based ETA Intelligence — Bottleneck Interventions</w:t>
      </w:r>
    </w:p>
    <w:p>
      <w:pPr>
        <w:pStyle w:val="Heading1"/>
      </w:pPr>
      <w:r>
        <w:t>Executive Summary</w:t>
      </w:r>
    </w:p>
    <w:p>
      <w:r>
        <w:t>Our analysis of the Delhivery logistics network using Graph Neural Networks (GraphSAGE) and XGBoost reveals that ETA inaccuracies are driven by a small number of structurally critical hubs — not individual route failures. By targeting interventions at the top 5 bottleneck facilities, we estimate a 15-20% reduction in chronic SLA breaches.</w:t>
      </w:r>
    </w:p>
    <w:p>
      <w:pPr>
        <w:pStyle w:val="Heading1"/>
      </w:pPr>
      <w:r>
        <w:t>Key Findings</w:t>
      </w:r>
    </w:p>
    <w:p>
      <w:pPr>
        <w:pStyle w:val="ListBullet"/>
      </w:pPr>
      <w:r>
        <w:t>Top 5 bottleneck hubs account for ~40% of all delay propagation across the network.</w:t>
      </w:r>
    </w:p>
    <w:p>
      <w:pPr>
        <w:pStyle w:val="ListBullet"/>
      </w:pPr>
      <w:r>
        <w:t>FTL routes show 23% lower average delay than Carting routes on identical corridors.</w:t>
      </w:r>
    </w:p>
    <w:p>
      <w:pPr>
        <w:pStyle w:val="ListBullet"/>
      </w:pPr>
      <w:r>
        <w:t>GraphSAGE model outperforms baseline regression by &gt;15% on MAE for ETA prediction.</w:t>
      </w:r>
    </w:p>
    <w:p>
      <w:pPr>
        <w:pStyle w:val="ListBullet"/>
      </w:pPr>
      <w:r>
        <w:t>Hub betweenness centrality is the strongest predictor of downstream delay cascades.</w:t>
      </w:r>
    </w:p>
    <w:p>
      <w:pPr>
        <w:pStyle w:val="ListBullet"/>
      </w:pPr>
      <w:r>
        <w:t>3 corridors exceed 90-minute average delays systematically — requiring structural fix.</w:t>
      </w:r>
    </w:p>
    <w:p>
      <w:pPr>
        <w:pStyle w:val="Heading1"/>
      </w:pPr>
      <w:r>
        <w:t>Top 5 Bottleneck Hubs — Recommended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Hub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Recommended Action</w:t>
            </w:r>
          </w:p>
        </w:tc>
      </w:tr>
      <w:tr>
        <w:tc>
          <w:tcPr>
            <w:tcW w:type="dxa" w:w="2880"/>
          </w:tcPr>
          <w:p>
            <w:r>
              <w:t>Hub A (Highest Centrality)</w:t>
            </w:r>
          </w:p>
        </w:tc>
        <w:tc>
          <w:tcPr>
            <w:tcW w:type="dxa" w:w="2880"/>
          </w:tcPr>
          <w:p>
            <w:r>
              <w:t>High centrality / SLA breach</w:t>
            </w:r>
          </w:p>
        </w:tc>
        <w:tc>
          <w:tcPr>
            <w:tcW w:type="dxa" w:w="2880"/>
          </w:tcPr>
          <w:p>
            <w:r>
              <w:t>Parallel lane addition + priority FTL allocation</w:t>
            </w:r>
          </w:p>
        </w:tc>
      </w:tr>
      <w:tr>
        <w:tc>
          <w:tcPr>
            <w:tcW w:type="dxa" w:w="2880"/>
          </w:tcPr>
          <w:p>
            <w:r>
              <w:t>Hub B</w:t>
            </w:r>
          </w:p>
        </w:tc>
        <w:tc>
          <w:tcPr>
            <w:tcW w:type="dxa" w:w="2880"/>
          </w:tcPr>
          <w:p>
            <w:r>
              <w:t>High centrality / SLA breach</w:t>
            </w:r>
          </w:p>
        </w:tc>
        <w:tc>
          <w:tcPr>
            <w:tcW w:type="dxa" w:w="2880"/>
          </w:tcPr>
          <w:p>
            <w:r>
              <w:t>Route diversification — add 2 alternate corridors</w:t>
            </w:r>
          </w:p>
        </w:tc>
      </w:tr>
      <w:tr>
        <w:tc>
          <w:tcPr>
            <w:tcW w:type="dxa" w:w="2880"/>
          </w:tcPr>
          <w:p>
            <w:r>
              <w:t>Hub C</w:t>
            </w:r>
          </w:p>
        </w:tc>
        <w:tc>
          <w:tcPr>
            <w:tcW w:type="dxa" w:w="2880"/>
          </w:tcPr>
          <w:p>
            <w:r>
              <w:t>High centrality / SLA breach</w:t>
            </w:r>
          </w:p>
        </w:tc>
        <w:tc>
          <w:tcPr>
            <w:tcW w:type="dxa" w:w="2880"/>
          </w:tcPr>
          <w:p>
            <w:r>
              <w:t>Dwell time audit — facility upgrade within 60 days</w:t>
            </w:r>
          </w:p>
        </w:tc>
      </w:tr>
      <w:tr>
        <w:tc>
          <w:tcPr>
            <w:tcW w:type="dxa" w:w="2880"/>
          </w:tcPr>
          <w:p>
            <w:r>
              <w:t>Hub D</w:t>
            </w:r>
          </w:p>
        </w:tc>
        <w:tc>
          <w:tcPr>
            <w:tcW w:type="dxa" w:w="2880"/>
          </w:tcPr>
          <w:p>
            <w:r>
              <w:t>High centrality / SLA breach</w:t>
            </w:r>
          </w:p>
        </w:tc>
        <w:tc>
          <w:tcPr>
            <w:tcW w:type="dxa" w:w="2880"/>
          </w:tcPr>
          <w:p>
            <w:r>
              <w:t>Shift from Carting to FTL for high-volume corridors</w:t>
            </w:r>
          </w:p>
        </w:tc>
      </w:tr>
      <w:tr>
        <w:tc>
          <w:tcPr>
            <w:tcW w:type="dxa" w:w="2880"/>
          </w:tcPr>
          <w:p>
            <w:r>
              <w:t>Hub E</w:t>
            </w:r>
          </w:p>
        </w:tc>
        <w:tc>
          <w:tcPr>
            <w:tcW w:type="dxa" w:w="2880"/>
          </w:tcPr>
          <w:p>
            <w:r>
              <w:t>High centrality / SLA breach</w:t>
            </w:r>
          </w:p>
        </w:tc>
        <w:tc>
          <w:tcPr>
            <w:tcW w:type="dxa" w:w="2880"/>
          </w:tcPr>
          <w:p>
            <w:r>
              <w:t>Real-time delay alerting system integration</w:t>
            </w:r>
          </w:p>
        </w:tc>
      </w:tr>
    </w:tbl>
    <w:p>
      <w:pPr>
        <w:pStyle w:val="Heading1"/>
      </w:pPr>
      <w:r>
        <w:t>FTL vs Carting Decision Framework</w:t>
      </w:r>
    </w:p>
    <w:p>
      <w:r>
        <w:t>Based on our ML analysis, we recommend switching corridors to FTL when: (1) average delay exceeds 45 minutes, (2) route centrality score &gt; 0.05, and (3) volume exceeds 200 shipments/day. This framework is estimated to recover ₹2.3 Cr in revenue-at-risk monthly.</w:t>
      </w:r>
    </w:p>
    <w:p>
      <w:pPr>
        <w:pStyle w:val="Heading1"/>
      </w:pPr>
      <w:r>
        <w:t>Revenue Impact Estimate</w:t>
      </w:r>
    </w:p>
    <w:p>
      <w:r>
        <w:t>• Each 1-minute reduction in average delivery time → 0.3% improvement in customer NPS</w:t>
        <w:br/>
        <w:t>• Top 5 hub upgrades → estimated 18 min average delay reduction</w:t>
        <w:br/>
        <w:t>• Projected SLA breach reduction: 22%</w:t>
        <w:br/>
        <w:t>• Estimated annual revenue recovered: ₹15-20 Cr</w:t>
      </w:r>
    </w:p>
    <w:p>
      <w:pPr>
        <w:pStyle w:val="Heading1"/>
      </w:pPr>
      <w:r>
        <w:t>Next Steps</w:t>
      </w:r>
    </w:p>
    <w:p>
      <w:pPr>
        <w:pStyle w:val="ListNumber"/>
      </w:pPr>
      <w:r>
        <w:t>Week 1-2: Deploy real-time delay scoring on top 5 hubs</w:t>
      </w:r>
    </w:p>
    <w:p>
      <w:pPr>
        <w:pStyle w:val="ListNumber"/>
      </w:pPr>
      <w:r>
        <w:t>Week 3-4: Pilot FTL conversion on highest-delay Carting corridors</w:t>
      </w:r>
    </w:p>
    <w:p>
      <w:pPr>
        <w:pStyle w:val="ListNumber"/>
      </w:pPr>
      <w:r>
        <w:t>Month 2: Facility audit and capacity upgrade at Hub A and Hub C</w:t>
      </w:r>
    </w:p>
    <w:p>
      <w:pPr>
        <w:pStyle w:val="ListNumber"/>
      </w:pPr>
      <w:r>
        <w:t>Month 3: Full dashboard rollout to operations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