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2"/>
        </w:rPr>
        <w:t>Literature Validation Report — Phase 1 &amp; Phase 2 Results vs. Prior Work</w:t>
      </w:r>
    </w:p>
    <w:p>
      <w:r>
        <w:rPr>
          <w:b/>
          <w:sz w:val="24"/>
        </w:rPr>
        <w:t>Purpose</w:t>
      </w:r>
    </w:p>
    <w:p>
      <w:r>
        <w:rPr>
          <w:b w:val="0"/>
        </w:rPr>
        <w:t>Before starting Phase 3, the Phase 1 (Cityscapes baseline) and Phase 2 (ACDC domain-gap) results were checked against published benchmarks using the same or closely related architectures, to confirm that both results are credible and consistent with prior work rather than artifacts of the training or evaluation setup.</w:t>
      </w:r>
    </w:p>
    <w:p>
      <w:r>
        <w:rPr>
          <w:b/>
          <w:sz w:val="24"/>
        </w:rPr>
        <w:t>Phase 1 — Cityscapes Baseline vs. SegFormer Literature</w:t>
      </w:r>
    </w:p>
    <w:p>
      <w:r>
        <w:rPr>
          <w:b w:val="0"/>
        </w:rPr>
        <w:t xml:space="preserve">The original SegFormer paper [1] reports the MiT-B4 encoder reaching </w:t>
      </w:r>
      <w:r>
        <w:rPr>
          <w:b/>
        </w:rPr>
        <w:t>82.3% mIoU (single-scale) and 83.8–83.9% mIoU (multi-scale + flip)</w:t>
      </w:r>
      <w:r>
        <w:rPr>
          <w:b w:val="0"/>
        </w:rPr>
        <w:t xml:space="preserve"> on the Cityscapes validation set. That result is obtained training on 1024×1024 crops for 160,000 iterations and evaluating at the full 1024×2048 resolution with sliding-window inference.</w:t>
      </w:r>
    </w:p>
    <w:p>
      <w:r>
        <w:rPr>
          <w:b w:val="0"/>
        </w:rPr>
        <w:t xml:space="preserve">Phase 1 trained the same MiT-B4 encoder on images resized to 512×512 for 28 epochs (≈ 13,860 iterations — over ten times fewer than the published recipe), reaching </w:t>
      </w:r>
      <w:r>
        <w:rPr>
          <w:b/>
        </w:rPr>
        <w:t>73.18% mIoU (with multi-scale + flip TTA)</w:t>
      </w:r>
      <w:r>
        <w:rPr>
          <w:b w:val="0"/>
        </w:rPr>
        <w:t>. The 9–11-point gap to the published ceiling is consistent with the reduced input resolution and substantially shorter training schedule, not indicative of a bug. The training curve itself — a steady, monotonic climb from 41.81% (epoch 1) to 72.21% (epoch 25, best raw checkpoint) followed by a +0.97% gain from TTA — is the expected shape for a healthy, converging run under those constraints.</w:t>
      </w:r>
    </w:p>
    <w:p>
      <w:r>
        <w:rPr>
          <w:b/>
          <w:sz w:val="24"/>
        </w:rPr>
        <w:t>Phase 2 — Cityscapes→ACDC Domain Gap vs. UDA Literature</w:t>
      </w:r>
    </w:p>
    <w:p>
      <w:r>
        <w:rPr>
          <w:b w:val="0"/>
        </w:rPr>
        <w:t>No published “source-only, zero-shot, MiT-B4” baseline exists for this exact protocol — unsupervised domain adaptation (UDA) papers typically report only post-adaptation numbers. However, the MIC paper [3] reports the following mIoU figures on the Cityscapes→ACDC (test split) benchmark, which serve as useful reference points:</w:t>
      </w:r>
    </w:p>
    <w:p>
      <w:pPr>
        <w:pStyle w:val="ListBullet"/>
      </w:pPr>
      <w:r>
        <w:rPr>
          <w:b/>
        </w:rPr>
        <w:t xml:space="preserve">ADVENT </w:t>
      </w:r>
      <w:r>
        <w:rPr>
          <w:b w:val="0"/>
        </w:rPr>
        <w:t>(early UDA method): 32.7% mIoU</w:t>
      </w:r>
    </w:p>
    <w:p>
      <w:pPr>
        <w:pStyle w:val="ListBullet"/>
      </w:pPr>
      <w:r>
        <w:rPr>
          <w:b/>
        </w:rPr>
        <w:t xml:space="preserve">DAFormer </w:t>
      </w:r>
      <w:r>
        <w:rPr>
          <w:b w:val="0"/>
        </w:rPr>
        <w:t>(full UDA): 55.4% mIoU</w:t>
      </w:r>
    </w:p>
    <w:p>
      <w:pPr>
        <w:pStyle w:val="ListBullet"/>
      </w:pPr>
      <w:r>
        <w:rPr>
          <w:b/>
        </w:rPr>
        <w:t xml:space="preserve">HRDA </w:t>
      </w:r>
      <w:r>
        <w:rPr>
          <w:b w:val="0"/>
        </w:rPr>
        <w:t>[2] (full UDA): 68.0% mIoU</w:t>
      </w:r>
    </w:p>
    <w:p>
      <w:pPr>
        <w:pStyle w:val="ListBullet"/>
      </w:pPr>
      <w:r>
        <w:rPr>
          <w:b/>
        </w:rPr>
        <w:t xml:space="preserve">MIC (HRDA) </w:t>
      </w:r>
      <w:r>
        <w:rPr>
          <w:b w:val="0"/>
        </w:rPr>
        <w:t>(state of the art, full UDA): 70.4% mIoU</w:t>
      </w:r>
    </w:p>
    <w:p>
      <w:r>
        <w:rPr>
          <w:b w:val="0"/>
        </w:rPr>
        <w:t xml:space="preserve">Phase 2 measured </w:t>
      </w:r>
      <w:r>
        <w:rPr>
          <w:b/>
        </w:rPr>
        <w:t>49.02% average mIoU</w:t>
      </w:r>
      <w:r>
        <w:rPr>
          <w:b w:val="0"/>
        </w:rPr>
        <w:t xml:space="preserve"> across fog, rain, snow and night — with </w:t>
      </w:r>
      <w:r>
        <w:rPr>
          <w:b/>
        </w:rPr>
        <w:t>zero domain adaptation applied at all</w:t>
      </w:r>
      <w:r>
        <w:rPr>
          <w:b w:val="0"/>
        </w:rPr>
        <w:t>. This places the zero-shot result above the fully-adapted ADVENT baseline and not far below the fully-adapted DAFormer result, which is a healthy sign: it indicates the Phase 1 model already generalizes reasonably well out of domain, while still leaving a genuine, literature-consistent gap (24.16 absolute points, 33.0% relative) for Phase 3’s planned UDA methods to close.</w:t>
      </w:r>
    </w:p>
    <w:p>
      <w:r>
        <w:rPr>
          <w:b w:val="0"/>
        </w:rPr>
        <w:t xml:space="preserve">Caveat: the figures above are evaluated on ACDC’s held-out </w:t>
      </w:r>
      <w:r>
        <w:rPr>
          <w:b/>
        </w:rPr>
        <w:t>test</w:t>
      </w:r>
      <w:r>
        <w:rPr>
          <w:b w:val="0"/>
        </w:rPr>
        <w:t xml:space="preserve"> split via an online submission server, whereas Phase 2 evaluated on the local </w:t>
      </w:r>
      <w:r>
        <w:rPr>
          <w:b/>
        </w:rPr>
        <w:t>validation</w:t>
      </w:r>
      <w:r>
        <w:rPr>
          <w:b w:val="0"/>
        </w:rPr>
        <w:t xml:space="preserve"> split with directly available labels. The comparison is therefore directional — same task, domain and dataset family — rather than a strict number-for-number match.</w:t>
      </w:r>
    </w:p>
    <w:p>
      <w:r>
        <w:rPr>
          <w:b/>
          <w:sz w:val="24"/>
        </w:rPr>
        <w:t>Conclusion</w:t>
      </w:r>
    </w:p>
    <w:p>
      <w:r>
        <w:rPr>
          <w:b w:val="0"/>
        </w:rPr>
        <w:t>Both phases pass this literature sanity check. Phase 1’s 73.18% mIoU is a reasonable, explainable distance below the published SegFormer/MiT-B4 ceiling given the resolution and compute constraints of this project, and Phase 2’s 49.02% average mIoU under zero-shot transfer is well within the range implied by published UDA results on the same benchmark. Both results are credible baselines to carry into Phase 3.</w:t>
      </w:r>
    </w:p>
    <w:p>
      <w:r>
        <w:rPr>
          <w:b/>
          <w:sz w:val="24"/>
        </w:rPr>
        <w:t>References</w:t>
      </w:r>
    </w:p>
    <w:p>
      <w:pPr>
        <w:ind w:left="360" w:hanging="360"/>
      </w:pPr>
      <w:r>
        <w:rPr>
          <w:sz w:val="21"/>
        </w:rPr>
        <w:t>[1] E. Xie, W. Wang, Z. Yu, A. Anandkumar, J. M. Alvarez, and P. Luo, “SegFormer: Simple and Efficient Design for Semantic Segmentation with Transformers,” Advances in Neural Information Processing Systems (NeurIPS), 2021. arXiv:2105.15203.</w:t>
      </w:r>
    </w:p>
    <w:p>
      <w:pPr>
        <w:ind w:left="360" w:hanging="360"/>
      </w:pPr>
      <w:r>
        <w:rPr>
          <w:sz w:val="21"/>
        </w:rPr>
        <w:t>[2] L. Hoyer, D. Dai, and L. Van Gool, “HRDA: Context-Aware High-Resolution Domain-Adaptive Semantic Segmentation,” European Conference on Computer Vision (ECCV), 2022. arXiv:2204.13132.</w:t>
      </w:r>
    </w:p>
    <w:p>
      <w:pPr>
        <w:ind w:left="360" w:hanging="360"/>
      </w:pPr>
      <w:r>
        <w:rPr>
          <w:sz w:val="21"/>
        </w:rPr>
        <w:t>[3] L. Hoyer, D. Dai, H. Wang, and L. Van Gool, “MIC: Masked Image Consistency for Context-Enhanced Domain Adaptation,” IEEE/CVF Conference on Computer Vision and Pattern Recognition (CVPR), 2023.</w:t>
      </w:r>
    </w:p>
    <w:p>
      <w:pPr>
        <w:ind w:left="360" w:hanging="360"/>
      </w:pPr>
      <w:r>
        <w:rPr>
          <w:sz w:val="21"/>
        </w:rPr>
        <w:t>[4] C. Sakaridis, D. Dai, and L. Van Gool, “ACDC: The Adverse Conditions Dataset with Correspondences for Semantic Driving Scene Understanding,” IEEE/CVF International Conference on Computer Vision (ICCV), 2021. arXiv:2104.13395.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