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552236" cy="363838"/>
            <wp:effectExtent b="0" l="0" r="0" t="0"/>
            <wp:docPr descr="Изображение выглядит как черный, темнота&#10;&#10;Автоматически созданное описание" id="1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черный, темнота&#10;&#10;Автоматически созданное описание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236" cy="36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Автономная некоммерческая организация высшего образования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«Университет Иннополис»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-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ОТЗЫВ РУКОВОДИТЕЛЯ ВЫПУСКНОЙ КВАЛИФИКАЦИОННОЙ РАБОТЫ </w:t>
      </w:r>
    </w:p>
    <w:p w:rsidR="00000000" w:rsidDel="00000000" w:rsidP="00000000" w:rsidRDefault="00000000" w:rsidRPr="00000000" w14:paraId="00000006">
      <w:pPr>
        <w:spacing w:after="0" w:line="240" w:lineRule="auto"/>
        <w:ind w:left="-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 ВЫПУСКНУЮ КВАЛИФИКАЦИОННУЮ РАБОТУ</w:t>
      </w:r>
    </w:p>
    <w:p w:rsidR="00000000" w:rsidDel="00000000" w:rsidP="00000000" w:rsidRDefault="00000000" w:rsidRPr="00000000" w14:paraId="00000007">
      <w:pPr>
        <w:spacing w:after="0" w:line="240" w:lineRule="auto"/>
        <w:ind w:left="-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(БАКАЛАВРСКУЮ РАБОТУ)</w: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-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f1115"/>
          <w:sz w:val="26"/>
          <w:szCs w:val="26"/>
          <w:highlight w:val="white"/>
          <w:rtl w:val="0"/>
        </w:rPr>
        <w:t xml:space="preserve">SUPERVISOR'S REVIEW OF THE FINAL QUALIFICATION WORK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240" w:lineRule="auto"/>
        <w:ind w:left="-75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(BACHELOR’S THESIS)</w:t>
      </w:r>
    </w:p>
    <w:p w:rsidR="00000000" w:rsidDel="00000000" w:rsidP="00000000" w:rsidRDefault="00000000" w:rsidRPr="00000000" w14:paraId="0000000B">
      <w:pPr>
        <w:spacing w:after="0" w:line="240" w:lineRule="auto"/>
        <w:ind w:left="-1134" w:firstLine="0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-1134" w:firstLine="0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48"/>
        <w:gridCol w:w="260"/>
        <w:gridCol w:w="7146"/>
        <w:tblGridChange w:id="0">
          <w:tblGrid>
            <w:gridCol w:w="1948"/>
            <w:gridCol w:w="260"/>
            <w:gridCol w:w="7146"/>
          </w:tblGrid>
        </w:tblGridChange>
      </w:tblGrid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ФИО обучающегося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Пател Кхуш Прадипбхаи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Student's Full Name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Patel Khush Pradipbhai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48"/>
        <w:gridCol w:w="222"/>
        <w:gridCol w:w="7084"/>
        <w:tblGridChange w:id="0">
          <w:tblGrid>
            <w:gridCol w:w="2048"/>
            <w:gridCol w:w="222"/>
            <w:gridCol w:w="7084"/>
          </w:tblGrid>
        </w:tblGridChange>
      </w:tblGrid>
      <w:tr>
        <w:trPr>
          <w:cantSplit w:val="0"/>
          <w:trHeight w:val="65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Тема выпускной квалификационной работы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Использование памяти и графов знаний для оценки действий интеллектуальных агентов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spacing w:after="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Final Qualification Work Title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Memory-Assisted "LLM as a Judge" via Knowledge Graphs for Evaluating Agents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0"/>
        <w:gridCol w:w="2126"/>
        <w:gridCol w:w="284"/>
        <w:gridCol w:w="2409"/>
        <w:gridCol w:w="2835"/>
        <w:tblGridChange w:id="0">
          <w:tblGrid>
            <w:gridCol w:w="1980"/>
            <w:gridCol w:w="2126"/>
            <w:gridCol w:w="284"/>
            <w:gridCol w:w="2409"/>
            <w:gridCol w:w="2835"/>
          </w:tblGrid>
        </w:tblGridChange>
      </w:tblGrid>
      <w:tr>
        <w:trPr>
          <w:cantSplit w:val="0"/>
          <w:trHeight w:val="5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Уровень образования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высшее образование</w:t>
              <w:br w:type="textWrapping"/>
              <w:t xml:space="preserve">бакалавриат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Наименование направления подготовки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09.03.01 Информатика и вычислительная техника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Level of Education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Bachelor's degree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Academic Program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09.03.01 Computer Science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4106"/>
        <w:gridCol w:w="5528"/>
        <w:tblGridChange w:id="0">
          <w:tblGrid>
            <w:gridCol w:w="4106"/>
            <w:gridCol w:w="5528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Направленность (профиль) образовательной программы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               Анализ данных и искусственный интеллект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Field of Study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Science and Artificial Intelligence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Отзыв на выпускную квалификационную работу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c4043"/>
          <w:vertAlign w:val="superscript"/>
          <w:rtl w:val="0"/>
        </w:rPr>
        <w:t xml:space="preserve"> *</w:t>
      </w:r>
      <w:r w:rsidDel="00000000" w:rsidR="00000000" w:rsidRPr="00000000">
        <w:rPr>
          <w:rtl w:val="0"/>
        </w:rPr>
      </w:r>
    </w:p>
    <w:tbl>
      <w:tblPr>
        <w:tblStyle w:val="Table5"/>
        <w:tblW w:w="96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9"/>
        <w:tblGridChange w:id="0">
          <w:tblGrid>
            <w:gridCol w:w="9629"/>
          </w:tblGrid>
        </w:tblGridChange>
      </w:tblGrid>
      <w:tr>
        <w:trPr>
          <w:cantSplit w:val="0"/>
          <w:trHeight w:val="1944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В дипломной работе студента рассматривается актуальная и своевременная проблема: как оценивать судей магистратуры с расширенной памятью. Работа представляет собой четкий исследовательский вопрос, содержательную реализацию и тщательный экспериментальный протокол.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Главной сильной стороной диссертации является ее методология оценки, особенно аудит замороженной памяти, который доказывает, что память не изменяется во время тестирования. Также важен эмпирический результат: в соответствии с проверенным протоколом расширения памяти и MCTS существенно не улучшаются по сравнению с тестированием без учета состояния. Этот отрицательный результат представлен честно и с надлежащей статистической осторожностью.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Диссертация технически обоснована, хорошо структурирована и демонстрирует способность к независимому исследованию. 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Рекомендуются незначительные доработки, в том числе тщательная формулировка требований о новизне, улучшенное оформление рисунков / кодов и исправление мелких опечаток.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Итоговая оценка: Диссертация пригодна для защиты и может быть принята.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Рекомендуемая оценка: A.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Review of the Final Qualification Work</w:t>
      </w:r>
      <w:r w:rsidDel="00000000" w:rsidR="00000000" w:rsidRPr="00000000">
        <w:rPr>
          <w:rFonts w:ascii="Calibri" w:cs="Calibri" w:eastAsia="Calibri" w:hAnsi="Calibri"/>
          <w:color w:val="3c4043"/>
          <w:sz w:val="20"/>
          <w:szCs w:val="20"/>
          <w:vertAlign w:val="superscript"/>
          <w:rtl w:val="0"/>
        </w:rPr>
        <w:t xml:space="preserve">**</w:t>
      </w:r>
      <w:r w:rsidDel="00000000" w:rsidR="00000000" w:rsidRPr="00000000">
        <w:rPr>
          <w:rtl w:val="0"/>
        </w:rPr>
      </w:r>
    </w:p>
    <w:tbl>
      <w:tblPr>
        <w:tblStyle w:val="Table6"/>
        <w:tblW w:w="96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9"/>
        <w:tblGridChange w:id="0">
          <w:tblGrid>
            <w:gridCol w:w="9629"/>
          </w:tblGrid>
        </w:tblGridChange>
      </w:tblGrid>
      <w:tr>
        <w:trPr>
          <w:cantSplit w:val="0"/>
          <w:trHeight w:val="2037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The student's thesis  addresses a relevant and timely problem: how to evaluate memory-augmented LLM judges. The work presents a clear research question, a substantial implementation, and a careful experimental protocol.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The main strength of the thesis is its  evaluation methodology, especially the frozen-memory audit, which proves that memory is not modified during testing. The empirical result is also valuable: under the audited protocol, memory and MCTS extensions do not significantly improve over a stateless judge. This negative result is presented honestly and with appropriate statistical caution.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The thesis is technically solid, well structured, and demonstrates independent research ability. 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Minor improvements are recommended, including careful wording of novelty claims, improved formatting of figures/code listings, and correction of small typographical issues.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Final assessment: The thesis is suitable for defense and can be accepted.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Recommended grade: A.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b w:val="1"/>
                <w:b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2181225</wp:posOffset>
            </wp:positionH>
            <wp:positionV relativeFrom="paragraph">
              <wp:posOffset>168101</wp:posOffset>
            </wp:positionV>
            <wp:extent cx="1304925" cy="5461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54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7"/>
        <w:tblW w:w="963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289"/>
        <w:gridCol w:w="3255"/>
        <w:gridCol w:w="236"/>
        <w:gridCol w:w="3307"/>
        <w:tblGridChange w:id="0">
          <w:tblGrid>
            <w:gridCol w:w="2552"/>
            <w:gridCol w:w="289"/>
            <w:gridCol w:w="3255"/>
            <w:gridCol w:w="236"/>
            <w:gridCol w:w="330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Руководитель ВКР /  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Final Qualification Work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b7b7b7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b7b7b7"/>
                <w:rtl w:val="0"/>
              </w:rPr>
              <w:t xml:space="preserve">Подпись / Signature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Бадер Рашид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Bader Rasheed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rPr>
          <w:rFonts w:ascii="Calibri" w:cs="Calibri" w:eastAsia="Calibri" w:hAnsi="Calibri"/>
          <w:b w:val="1"/>
          <w:b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323850</wp:posOffset>
            </wp:positionV>
            <wp:extent cx="852170" cy="46672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4035" l="23656" r="1129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170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8"/>
        <w:tblW w:w="963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289"/>
        <w:gridCol w:w="3255"/>
        <w:gridCol w:w="236"/>
        <w:gridCol w:w="3307"/>
        <w:tblGridChange w:id="0">
          <w:tblGrid>
            <w:gridCol w:w="2552"/>
            <w:gridCol w:w="289"/>
            <w:gridCol w:w="3255"/>
            <w:gridCol w:w="236"/>
            <w:gridCol w:w="330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Ознакомлен с отзывом 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Acknowledged by (Student)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b7b7b7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b7b7b7"/>
                <w:rtl w:val="0"/>
              </w:rPr>
              <w:t xml:space="preserve">Подпись / Signature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Пател Кхуш Прадипбхаи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Patel Khush Pradipbhai</w:t>
            </w:r>
          </w:p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360" w:lineRule="auto"/>
        <w:rPr>
          <w:rFonts w:ascii="Calibri" w:cs="Calibri" w:eastAsia="Calibri" w:hAnsi="Calibri"/>
          <w:b w:val="1"/>
          <w:b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alibri" w:cs="Calibri" w:eastAsia="Calibri" w:hAnsi="Calibri"/>
          <w:color w:val="3c404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c4043"/>
          <w:sz w:val="20"/>
          <w:szCs w:val="20"/>
          <w:vertAlign w:val="superscript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color w:val="3c4043"/>
          <w:sz w:val="20"/>
          <w:szCs w:val="20"/>
          <w:rtl w:val="0"/>
        </w:rPr>
        <w:t xml:space="preserve">Руководитель ВКР указывает в произвольной форме: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alibri" w:cs="Calibri" w:eastAsia="Calibri" w:hAnsi="Calibri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соответствует ли тема ВКР направлению подготовки, области, объектам, видам и задачам профессиональной деятельности;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является ли тема ВКР актуальной, соответствует ли современному состоянию и перспективам развития науки, техники и технологиям;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насколько освещена данная тема ВКР в монографиях, статьях, научных докладах и т.д.;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учитывает ли тема ВКР интересы и потребности индустрии;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четко ли поставлены цели/задачи работы, насколько соответствует их уровень теме ВКР;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какие методы, техники и методики использовались во время работы над темой ВКР;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основывается ли тема ВКР на практической работе обучающегося;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какой уровень сформированности компетенций показал обучающийся во время работы над темой ВКР;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есть ли публикации, доклады обучающегося по теме ВКР;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существуют ли перспективы дальнейших исследований по данной теме;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было ли самостоятельным выполнение работы обучающимся, ответственно ли и организовано относился обучающийся к работе, своевременно ли выполнялись все этапы индивидуального плана работы над темой;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является ли работа стилистически выдержанной, имеет ли смысловую законченность и оформлена ли в соответствии с требованиями;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рекомендуется или нет работа обучающегося к защите на заседании ГЭК.</w:t>
      </w:r>
    </w:p>
    <w:p w:rsidR="00000000" w:rsidDel="00000000" w:rsidP="00000000" w:rsidRDefault="00000000" w:rsidRPr="00000000" w14:paraId="0000006F">
      <w:pPr>
        <w:spacing w:after="0" w:line="240" w:lineRule="auto"/>
        <w:ind w:left="284" w:firstLine="0"/>
        <w:rPr>
          <w:rFonts w:ascii="Calibri" w:cs="Calibri" w:eastAsia="Calibri" w:hAnsi="Calibri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alibri" w:cs="Calibri" w:eastAsia="Calibri" w:hAnsi="Calibri"/>
          <w:color w:val="3c404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c4043"/>
          <w:sz w:val="20"/>
          <w:szCs w:val="20"/>
          <w:vertAlign w:val="superscript"/>
          <w:rtl w:val="0"/>
        </w:rPr>
        <w:t xml:space="preserve">**</w:t>
      </w:r>
      <w:r w:rsidDel="00000000" w:rsidR="00000000" w:rsidRPr="00000000">
        <w:rPr>
          <w:rFonts w:ascii="Calibri" w:cs="Calibri" w:eastAsia="Calibri" w:hAnsi="Calibri"/>
          <w:color w:val="3c4043"/>
          <w:sz w:val="20"/>
          <w:szCs w:val="20"/>
          <w:rtl w:val="0"/>
        </w:rPr>
        <w:t xml:space="preserve"> Final Qualification Work Supervisor provides an evaluation in free form, addressing the following points: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alibri" w:cs="Calibri" w:eastAsia="Calibri" w:hAnsi="Calibri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whether the FQW topic aligns with the field of study, objects, types, and tasks of professional activity;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whether the topic is relevant and corresponds to the current state and prospects of development in science, engineering, and technology;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the extent to which the topic is covered in monographs, articles, scientific reports, etc;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whether the topic considers the interests and needs of the industry;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whether the aims and objectives of the work are clearly defined and appropriately aligned with the topic's scope;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which methods, techniques, and methodologies were used during work on the FQW topic;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whether the topic is based on the student's practical work;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the level of competencies demonstrated by the student during work on the topic;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whether the student has any publications or presentations on the FQW topic;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whether there are prospects for further research on this topic;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whether the work was performed independently, and whether the student approached the work responsibly, in an organized manner, and met all deadlines of the individual work plan;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whether the work is stylistically consistent, thematically coherent, and formatted in accordance with the requirements;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c4043"/>
          <w:sz w:val="20"/>
          <w:szCs w:val="20"/>
          <w:u w:val="none"/>
          <w:shd w:fill="auto" w:val="clear"/>
          <w:vertAlign w:val="baseline"/>
          <w:rtl w:val="0"/>
        </w:rPr>
        <w:t xml:space="preserve">whether the student's work is recommended for defense before the State Qualifying Committee.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1" w:sz="4" w:val="single"/>
        </w:pBdr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41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