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7841"/>
        <w:gridCol w:w="2755"/>
      </w:tblGrid>
      <w:tr>
        <w:tc>
          <w:tcPr>
            <w:tcW w:type="dxa" w:w="5298"/>
            <w:shd w:fill="17365D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FINAL SUBMISSION CHECKLIST</w:t>
            </w:r>
          </w:p>
        </w:tc>
        <w:tc>
          <w:tcPr>
            <w:tcW w:type="dxa" w:w="5298"/>
            <w:shd w:fill="2F75B5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ML LAB</w:t>
            </w:r>
          </w:p>
        </w:tc>
      </w:tr>
    </w:tbl>
    <w:p>
      <w:pPr>
        <w:spacing w:before="100" w:after="100"/>
      </w:pPr>
      <w:r>
        <w:rPr>
          <w:rFonts w:ascii="Liberation Sans" w:hAnsi="Liberation Sans"/>
          <w:i/>
          <w:color w:val="666666"/>
          <w:sz w:val="21"/>
        </w:rPr>
        <w:t>Complete this before sharing the repository.</w:t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All work is merged into main through pull requests.</w:t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Commit history tells a clear story; no giant final commit.</w:t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The repository contains no real student data or secrets.</w:t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The README gives exact setup, training, evaluation, test and app commands.</w:t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The valid model uses only enrollment and week-4 features.</w:t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Forbidden feature tests pass.</w:t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The dummy, T0 and T1 results are saved in results/.</w:t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Macro F1, ROC-AUC, Brier score and confusion matrices are reported.</w:t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At least ten errors were manually inspected.</w:t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Subgroup metrics include sample sizes.</w:t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The threshold choice is justified as a support trade-off.</w:t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The app displays uncertainty and a human-review warning.</w:t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python -m src.train, python -m src.evaluate and pytest work in a clean environment.</w:t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The report is no longer than two pages.</w:t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>☐ The final repository is tagged v1.1-open-study.</w:t>
      </w:r>
      <w:r>
        <w:rPr>
          <w:rFonts w:ascii="Liberation Sans" w:hAnsi="Liberation Sans"/>
          <w:color w:val="1F1F1F"/>
          <w:sz w:val="18"/>
        </w:rPr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The UCI dataset is loaded from the official source by code.</w:t>
      </w:r>
      <w:r>
        <w:rPr>
          <w:rFonts w:ascii="Liberation Sans" w:hAnsi="Liberation Sans"/>
          <w:color w:val="1F1F1F"/>
          <w:sz w:val="18"/>
        </w:rPr>
        <w:t/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Its citation, DOI and CC BY 4.0 license are recorded.</w:t>
      </w:r>
      <w:r>
        <w:rPr>
          <w:rFonts w:ascii="Liberation Sans" w:hAnsi="Liberation Sans"/>
          <w:color w:val="1F1F1F"/>
          <w:sz w:val="18"/>
        </w:rPr>
        <w:t/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The UCI T0 and T1 models use the same split and valid feature checkpoints.</w:t>
      </w:r>
      <w:r>
        <w:rPr>
          <w:rFonts w:ascii="Liberation Sans" w:hAnsi="Liberation Sans"/>
          <w:color w:val="1F1F1F"/>
          <w:sz w:val="18"/>
        </w:rPr>
        <w:t/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The open-data transfer note is 300 words or less.</w:t>
      </w:r>
      <w:r>
        <w:rPr>
          <w:rFonts w:ascii="Liberation Sans" w:hAnsi="Liberation Sans"/>
          <w:color w:val="1F1F1F"/>
          <w:sz w:val="18"/>
        </w:rPr>
        <w:t/>
      </w:r>
    </w:p>
    <w:p>
      <w:pPr>
        <w:spacing w:after="60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You can explain any file and modify one requirement live.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CE4D6"/>
          <w:left w:val="single" w:sz="0" w:space="0" w:color="FCE4D6"/>
          <w:bottom w:val="single" w:sz="0" w:space="0" w:color="FCE4D6"/>
          <w:right w:val="single" w:sz="0" w:space="0" w:color="FCE4D6"/>
          <w:insideH w:val="single" w:sz="0" w:space="0" w:color="FCE4D6"/>
          <w:insideV w:val="single" w:sz="0" w:space="0" w:color="FCE4D6"/>
        </w:tblBorders>
      </w:tblPr>
      <w:tblGrid>
        <w:gridCol w:w="10596"/>
      </w:tblGrid>
      <w:tr>
        <w:tc>
          <w:tcPr>
            <w:tcW w:type="dxa" w:w="10596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8"/>
              </w:rPr>
              <w:t>Completion of every item demonstrates readiness for a larger real-world dataset.</w:t>
            </w:r>
            <w:r>
              <w:rPr>
                <w:rFonts w:ascii="Liberation Sans" w:hAnsi="Liberation Sans"/>
                <w:color w:val="1F1F1F"/>
                <w:sz w:val="18"/>
              </w:rPr>
            </w:r>
          </w:p>
        </w:tc>
      </w:tr>
    </w:tbl>
    <w:sectPr>
      <w:headerReference w:type="default" r:id="rId9"/>
      <w:footerReference w:type="default" r:id="rId10"/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>Use evidence. Commit small. Explain your choices.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6666"/>
        <w:sz w:val="15"/>
      </w:rPr>
      <w:t>ACADEMIC SUCCESS ML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