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0" w:space="0" w:color="17365D"/>
          <w:left w:val="single" w:sz="0" w:space="0" w:color="17365D"/>
          <w:bottom w:val="single" w:sz="0" w:space="0" w:color="17365D"/>
          <w:right w:val="single" w:sz="0" w:space="0" w:color="17365D"/>
          <w:insideH w:val="single" w:sz="0" w:space="0" w:color="17365D"/>
          <w:insideV w:val="single" w:sz="0" w:space="0" w:color="17365D"/>
        </w:tblBorders>
      </w:tblPr>
      <w:tblGrid>
        <w:gridCol w:w="7841"/>
        <w:gridCol w:w="2755"/>
      </w:tblGrid>
      <w:tr>
        <w:tc>
          <w:tcPr>
            <w:tcW w:type="dxa" w:w="5298"/>
            <w:shd w:fill="17365D"/>
            <w:tcMar>
              <w:top w:w="115" w:type="dxa"/>
              <w:start w:w="150" w:type="dxa"/>
              <w:bottom w:w="115" w:type="dxa"/>
              <w:end w:w="150" w:type="dxa"/>
            </w:tcMar>
            <w:vAlign w:val="center"/>
          </w:tcPr>
          <w:p>
            <w:pPr>
              <w:spacing w:after="0"/>
            </w:pPr>
            <w:r>
              <w:rPr>
                <w:rFonts w:ascii="Liberation Sans" w:hAnsi="Liberation Sans"/>
                <w:b/>
                <w:color w:val="FFFFFF"/>
                <w:sz w:val="36"/>
              </w:rPr>
              <w:t>START HERE</w:t>
            </w:r>
          </w:p>
        </w:tc>
        <w:tc>
          <w:tcPr>
            <w:tcW w:type="dxa" w:w="5298"/>
            <w:shd w:fill="2F75B5"/>
            <w:tcMar>
              <w:top w:w="115" w:type="dxa"/>
              <w:start w:w="150" w:type="dxa"/>
              <w:bottom w:w="115" w:type="dxa"/>
              <w:end w:w="150" w:type="dxa"/>
            </w:tcMar>
            <w:vAlign w:val="center"/>
          </w:tcPr>
          <w:p>
            <w:pPr>
              <w:spacing w:after="0"/>
              <w:jc w:val="right"/>
            </w:pPr>
            <w:r>
              <w:rPr>
                <w:rFonts w:ascii="Liberation Sans" w:hAnsi="Liberation Sans"/>
                <w:b/>
                <w:color w:val="FFFFFF"/>
                <w:sz w:val="18"/>
              </w:rPr>
              <w:t>ML LAB</w:t>
            </w:r>
          </w:p>
        </w:tc>
      </w:tr>
    </w:tbl>
    <w:p>
      <w:pPr>
        <w:spacing w:before="100" w:after="100"/>
      </w:pPr>
      <w:r>
        <w:rPr>
          <w:rFonts w:ascii="Liberation Sans" w:hAnsi="Liberation Sans"/>
          <w:i/>
          <w:color w:val="666666"/>
          <w:sz w:val="21"/>
        </w:rPr>
        <w:t>A practical route from Git fundamentals to a defensible academic-success model.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0" w:space="0" w:color="D9EAF7"/>
          <w:left w:val="single" w:sz="0" w:space="0" w:color="D9EAF7"/>
          <w:bottom w:val="single" w:sz="0" w:space="0" w:color="D9EAF7"/>
          <w:right w:val="single" w:sz="0" w:space="0" w:color="D9EAF7"/>
          <w:insideH w:val="single" w:sz="0" w:space="0" w:color="D9EAF7"/>
          <w:insideV w:val="single" w:sz="0" w:space="0" w:color="D9EAF7"/>
        </w:tblBorders>
      </w:tblPr>
      <w:tblGrid>
        <w:gridCol w:w="10596"/>
      </w:tblGrid>
      <w:tr>
        <w:tc>
          <w:tcPr>
            <w:tcW w:type="dxa" w:w="10596"/>
            <w:shd w:fill="D9EAF7"/>
            <w:tcMar>
              <w:top w:w="100" w:type="dxa"/>
              <w:start w:w="130" w:type="dxa"/>
              <w:bottom w:w="100" w:type="dxa"/>
              <w:end w:w="130" w:type="dxa"/>
            </w:tcMar>
          </w:tcPr>
          <w:p>
            <w:r>
              <w:rPr>
                <w:rFonts w:ascii="Liberation Sans" w:hAnsi="Liberation Sans"/>
                <w:b/>
                <w:color w:val="17365D"/>
                <w:sz w:val="18"/>
              </w:rPr>
              <w:t xml:space="preserve">Research question: </w:t>
            </w:r>
            <w:r>
              <w:rPr>
                <w:rFonts w:ascii="Liberation Sans" w:hAnsi="Liberation Sans"/>
                <w:color w:val="1F1F1F"/>
                <w:sz w:val="18"/>
              </w:rPr>
              <w:t>How well can we predict academic success using only information available by an early checkpoint?</w:t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C8D5E0"/>
          <w:left w:val="single" w:sz="4" w:space="0" w:color="C8D5E0"/>
          <w:bottom w:val="single" w:sz="4" w:space="0" w:color="C8D5E0"/>
          <w:right w:val="single" w:sz="4" w:space="0" w:color="C8D5E0"/>
          <w:insideH w:val="single" w:sz="4" w:space="0" w:color="C8D5E0"/>
          <w:insideV w:val="single" w:sz="4" w:space="0" w:color="C8D5E0"/>
        </w:tblBorders>
      </w:tblPr>
      <w:tblGrid>
        <w:gridCol w:w="5298"/>
        <w:gridCol w:w="5298"/>
      </w:tblGrid>
      <w:tr>
        <w:tc>
          <w:tcPr>
            <w:tcW w:type="dxa" w:w="5298"/>
            <w:tcMar>
              <w:top w:w="95" w:type="dxa"/>
              <w:start w:w="115" w:type="dxa"/>
              <w:bottom w:w="95" w:type="dxa"/>
              <w:end w:w="115" w:type="dxa"/>
            </w:tcMar>
            <w:shd w:fill="F3F6F9"/>
          </w:tcPr>
          <w:p>
            <w:r/>
            <w:r>
              <w:rPr>
                <w:rFonts w:ascii="Liberation Sans" w:hAnsi="Liberation Sans"/>
                <w:b/>
                <w:sz w:val="20"/>
              </w:rPr>
              <w:t>Final outputs</w:t>
            </w:r>
          </w:p>
          <w:p>
            <w:pPr>
              <w:spacing w:after="0"/>
            </w:pPr>
            <w:r>
              <w:rPr>
                <w:rFonts w:ascii="Liberation Sans" w:hAnsi="Liberation Sans"/>
                <w:sz w:val="16"/>
              </w:rPr>
              <w:t xml:space="preserve">• </w:t>
            </w:r>
            <w:r>
              <w:rPr>
                <w:rFonts w:ascii="Liberation Sans" w:hAnsi="Liberation Sans"/>
                <w:sz w:val="16"/>
              </w:rPr>
              <w:t>A reproducible early-warning model.</w:t>
            </w:r>
          </w:p>
          <w:p>
            <w:pPr>
              <w:spacing w:after="0"/>
            </w:pPr>
            <w:r>
              <w:rPr>
                <w:rFonts w:ascii="Liberation Sans" w:hAnsi="Liberation Sans"/>
                <w:sz w:val="16"/>
              </w:rPr>
              <w:t xml:space="preserve">• </w:t>
            </w:r>
            <w:r>
              <w:rPr>
                <w:rFonts w:ascii="Liberation Sans" w:hAnsi="Liberation Sans"/>
                <w:sz w:val="16"/>
              </w:rPr>
              <w:t>Enrollment-only and early-checkpoint comparisons.</w:t>
            </w:r>
          </w:p>
          <w:p>
            <w:pPr>
              <w:spacing w:after="0"/>
            </w:pPr>
            <w:r>
              <w:rPr>
                <w:rFonts w:ascii="Liberation Sans" w:hAnsi="Liberation Sans"/>
                <w:sz w:val="16"/>
              </w:rPr>
              <w:t xml:space="preserve">• </w:t>
            </w:r>
            <w:r>
              <w:rPr>
                <w:rFonts w:ascii="Liberation Sans" w:hAnsi="Liberation Sans"/>
                <w:sz w:val="16"/>
              </w:rPr>
              <w:t>A small prediction interface.</w:t>
            </w:r>
          </w:p>
          <w:p>
            <w:pPr>
              <w:spacing w:after="0"/>
            </w:pPr>
            <w:r>
              <w:rPr>
                <w:rFonts w:ascii="Liberation Sans" w:hAnsi="Liberation Sans"/>
                <w:sz w:val="16"/>
              </w:rPr>
              <w:t xml:space="preserve">• </w:t>
            </w:r>
            <w:r>
              <w:rPr>
                <w:rFonts w:ascii="Liberation Sans" w:hAnsi="Liberation Sans"/>
                <w:sz w:val="16"/>
              </w:rPr>
              <w:t>A two-page study and an open-data replication.</w:t>
            </w:r>
          </w:p>
        </w:tc>
        <w:tc>
          <w:tcPr>
            <w:tcW w:type="dxa" w:w="5298"/>
            <w:tcMar>
              <w:top w:w="95" w:type="dxa"/>
              <w:start w:w="115" w:type="dxa"/>
              <w:bottom w:w="95" w:type="dxa"/>
              <w:end w:w="115" w:type="dxa"/>
            </w:tcMar>
            <w:shd w:fill="FFFFFF"/>
          </w:tcPr>
          <w:p>
            <w:r/>
            <w:r>
              <w:rPr>
                <w:rFonts w:ascii="Liberation Sans" w:hAnsi="Liberation Sans"/>
                <w:b/>
                <w:sz w:val="20"/>
              </w:rPr>
              <w:t>Skills covered</w:t>
            </w:r>
          </w:p>
          <w:p>
            <w:pPr>
              <w:spacing w:after="0"/>
            </w:pPr>
            <w:r>
              <w:rPr>
                <w:rFonts w:ascii="Liberation Sans" w:hAnsi="Liberation Sans"/>
                <w:sz w:val="16"/>
              </w:rPr>
              <w:t xml:space="preserve">• </w:t>
            </w:r>
            <w:r>
              <w:rPr>
                <w:rFonts w:ascii="Liberation Sans" w:hAnsi="Liberation Sans"/>
                <w:sz w:val="16"/>
              </w:rPr>
              <w:t>Git issues, branches, commits and pull requests.</w:t>
            </w:r>
          </w:p>
          <w:p>
            <w:pPr>
              <w:spacing w:after="0"/>
            </w:pPr>
            <w:r>
              <w:rPr>
                <w:rFonts w:ascii="Liberation Sans" w:hAnsi="Liberation Sans"/>
                <w:sz w:val="16"/>
              </w:rPr>
              <w:t xml:space="preserve">• </w:t>
            </w:r>
            <w:r>
              <w:rPr>
                <w:rFonts w:ascii="Liberation Sans" w:hAnsi="Liberation Sans"/>
                <w:sz w:val="16"/>
              </w:rPr>
              <w:t>Baselines, evaluation and error analysis.</w:t>
            </w:r>
          </w:p>
          <w:p>
            <w:pPr>
              <w:spacing w:after="0"/>
            </w:pPr>
            <w:r>
              <w:rPr>
                <w:rFonts w:ascii="Liberation Sans" w:hAnsi="Liberation Sans"/>
                <w:sz w:val="16"/>
              </w:rPr>
              <w:t xml:space="preserve">• </w:t>
            </w:r>
            <w:r>
              <w:rPr>
                <w:rFonts w:ascii="Liberation Sans" w:hAnsi="Liberation Sans"/>
                <w:sz w:val="16"/>
              </w:rPr>
              <w:t>Leakage, calibration and subgroup checks.</w:t>
            </w:r>
          </w:p>
          <w:p>
            <w:pPr>
              <w:spacing w:after="0"/>
            </w:pPr>
            <w:r>
              <w:rPr>
                <w:rFonts w:ascii="Liberation Sans" w:hAnsi="Liberation Sans"/>
                <w:sz w:val="16"/>
              </w:rPr>
              <w:t xml:space="preserve">• </w:t>
            </w:r>
            <w:r>
              <w:rPr>
                <w:rFonts w:ascii="Liberation Sans" w:hAnsi="Liberation Sans"/>
                <w:sz w:val="16"/>
              </w:rPr>
              <w:t>Dataset citation and reproducibility.</w:t>
            </w:r>
          </w:p>
        </w:tc>
      </w:tr>
    </w:tbl>
    <w:p>
      <w:pPr>
        <w:pStyle w:val="Heading2"/>
      </w:pPr>
      <w:r>
        <w:t>Working rules</w:t>
      </w:r>
    </w:p>
    <w:p>
      <w:pPr>
        <w:pStyle w:val="ListBullet"/>
        <w:spacing w:after="26" w:line="240" w:lineRule="auto"/>
        <w:ind w:left="255" w:hanging="142"/>
      </w:pPr>
      <w:r>
        <w:rPr>
          <w:rFonts w:ascii="Liberation Sans" w:hAnsi="Liberation Sans"/>
          <w:b/>
          <w:color w:val="1F1F1F"/>
          <w:sz w:val="18"/>
        </w:rPr>
        <w:t xml:space="preserve">One mission at a time. </w:t>
      </w:r>
      <w:r>
        <w:rPr>
          <w:rFonts w:ascii="Liberation Sans" w:hAnsi="Liberation Sans"/>
          <w:color w:val="1F1F1F"/>
          <w:sz w:val="18"/>
        </w:rPr>
        <w:t>Do not jump ahead.</w:t>
      </w:r>
    </w:p>
    <w:p>
      <w:pPr>
        <w:pStyle w:val="ListBullet"/>
        <w:spacing w:after="26" w:line="240" w:lineRule="auto"/>
        <w:ind w:left="255" w:hanging="142"/>
      </w:pPr>
      <w:r>
        <w:rPr>
          <w:rFonts w:ascii="Liberation Sans" w:hAnsi="Liberation Sans"/>
          <w:b/>
          <w:color w:val="1F1F1F"/>
          <w:sz w:val="18"/>
        </w:rPr>
        <w:t xml:space="preserve">One branch per mission. </w:t>
      </w:r>
      <w:r>
        <w:rPr>
          <w:rFonts w:ascii="Liberation Sans" w:hAnsi="Liberation Sans"/>
          <w:color w:val="1F1F1F"/>
          <w:sz w:val="18"/>
        </w:rPr>
        <w:t>Never work directly on main.</w:t>
      </w:r>
    </w:p>
    <w:p>
      <w:pPr>
        <w:pStyle w:val="ListBullet"/>
        <w:spacing w:after="26" w:line="240" w:lineRule="auto"/>
        <w:ind w:left="255" w:hanging="142"/>
      </w:pPr>
      <w:r>
        <w:rPr>
          <w:rFonts w:ascii="Liberation Sans" w:hAnsi="Liberation Sans"/>
          <w:b/>
          <w:color w:val="1F1F1F"/>
          <w:sz w:val="18"/>
        </w:rPr>
        <w:t xml:space="preserve">Three useful commits minimum. </w:t>
      </w:r>
      <w:r>
        <w:rPr>
          <w:rFonts w:ascii="Liberation Sans" w:hAnsi="Liberation Sans"/>
          <w:color w:val="1F1F1F"/>
          <w:sz w:val="18"/>
        </w:rPr>
        <w:t>No “update”, “stuff” or “final”.</w:t>
      </w:r>
    </w:p>
    <w:p>
      <w:pPr>
        <w:pStyle w:val="ListBullet"/>
        <w:spacing w:after="26" w:line="240" w:lineRule="auto"/>
        <w:ind w:left="255" w:hanging="142"/>
      </w:pPr>
      <w:r>
        <w:rPr>
          <w:rFonts w:ascii="Liberation Sans" w:hAnsi="Liberation Sans"/>
          <w:b/>
          <w:color w:val="1F1F1F"/>
          <w:sz w:val="18"/>
        </w:rPr>
        <w:t xml:space="preserve">Predict before running. </w:t>
      </w:r>
      <w:r>
        <w:rPr>
          <w:rFonts w:ascii="Liberation Sans" w:hAnsi="Liberation Sans"/>
          <w:color w:val="1F1F1F"/>
          <w:sz w:val="18"/>
        </w:rPr>
        <w:t>Write what you expect and why.</w:t>
      </w:r>
    </w:p>
    <w:p>
      <w:pPr>
        <w:pStyle w:val="ListBullet"/>
        <w:spacing w:after="26" w:line="240" w:lineRule="auto"/>
        <w:ind w:left="255" w:hanging="142"/>
      </w:pPr>
      <w:r>
        <w:rPr>
          <w:rFonts w:ascii="Liberation Sans" w:hAnsi="Liberation Sans"/>
          <w:b/>
          <w:color w:val="1F1F1F"/>
          <w:sz w:val="18"/>
        </w:rPr>
        <w:t>AI is allowed, ownership is required. Record important AI-assisted changes and explain every submitted line.</w:t>
      </w:r>
      <w:r>
        <w:rPr>
          <w:rFonts w:ascii="Liberation Sans" w:hAnsi="Liberation Sans"/>
          <w:color w:val="1F1F1F"/>
          <w:sz w:val="18"/>
        </w:rPr>
      </w:r>
    </w:p>
    <w:p>
      <w:pPr>
        <w:pStyle w:val="ListBullet"/>
        <w:spacing w:after="26" w:line="240" w:lineRule="auto"/>
        <w:ind w:left="255" w:hanging="142"/>
      </w:pPr>
      <w:r>
        <w:rPr>
          <w:rFonts w:ascii="Liberation Sans" w:hAnsi="Liberation Sans"/>
          <w:b/>
          <w:color w:val="1F1F1F"/>
          <w:sz w:val="18"/>
        </w:rPr>
        <w:t xml:space="preserve">Educational predictions are support tools. </w:t>
      </w:r>
      <w:r>
        <w:rPr>
          <w:rFonts w:ascii="Liberation Sans" w:hAnsi="Liberation Sans"/>
          <w:color w:val="1F1F1F"/>
          <w:sz w:val="18"/>
        </w:rPr>
        <w:t>Never use them to punish, exclude or label a student permanently.</w:t>
      </w:r>
    </w:p>
    <w:p>
      <w:pPr>
        <w:pStyle w:val="Heading2"/>
      </w:pPr>
      <w:r>
        <w:t>Project rhythm</w:t>
      </w:r>
    </w:p>
    <w:p>
      <w:pPr>
        <w:spacing w:after="26" w:line="240" w:lineRule="auto"/>
        <w:ind w:left="198" w:hanging="142"/>
      </w:pPr>
      <w:r>
        <w:rPr>
          <w:rFonts w:ascii="Liberation Sans" w:hAnsi="Liberation Sans"/>
          <w:sz w:val="18"/>
        </w:rPr>
        <w:t xml:space="preserve">☐ </w:t>
      </w:r>
      <w:r>
        <w:rPr>
          <w:rFonts w:ascii="Liberation Sans" w:hAnsi="Liberation Sans"/>
          <w:color w:val="1F1F1F"/>
          <w:sz w:val="18"/>
        </w:rPr>
        <w:t>Read one mission card.</w:t>
      </w:r>
    </w:p>
    <w:p>
      <w:pPr>
        <w:spacing w:after="26" w:line="240" w:lineRule="auto"/>
        <w:ind w:left="198" w:hanging="142"/>
      </w:pPr>
      <w:r>
        <w:rPr>
          <w:rFonts w:ascii="Liberation Sans" w:hAnsi="Liberation Sans"/>
          <w:sz w:val="18"/>
        </w:rPr>
        <w:t xml:space="preserve">☐ </w:t>
      </w:r>
      <w:r>
        <w:rPr>
          <w:rFonts w:ascii="Liberation Sans" w:hAnsi="Liberation Sans"/>
          <w:color w:val="1F1F1F"/>
          <w:sz w:val="18"/>
        </w:rPr>
        <w:t>Open a GitHub issue using its title.</w:t>
      </w:r>
    </w:p>
    <w:p>
      <w:pPr>
        <w:spacing w:after="26" w:line="240" w:lineRule="auto"/>
        <w:ind w:left="198" w:hanging="142"/>
      </w:pPr>
      <w:r>
        <w:rPr>
          <w:rFonts w:ascii="Liberation Sans" w:hAnsi="Liberation Sans"/>
          <w:sz w:val="18"/>
        </w:rPr>
        <w:t xml:space="preserve">☐ </w:t>
      </w:r>
      <w:r>
        <w:rPr>
          <w:rFonts w:ascii="Liberation Sans" w:hAnsi="Liberation Sans"/>
          <w:color w:val="1F1F1F"/>
          <w:sz w:val="18"/>
        </w:rPr>
        <w:t>Create a branch, do the work and commit in small steps.</w:t>
      </w:r>
    </w:p>
    <w:p>
      <w:pPr>
        <w:spacing w:after="26" w:line="240" w:lineRule="auto"/>
        <w:ind w:left="198" w:hanging="142"/>
      </w:pPr>
      <w:r>
        <w:rPr>
          <w:rFonts w:ascii="Liberation Sans" w:hAnsi="Liberation Sans"/>
          <w:sz w:val="18"/>
        </w:rPr>
        <w:t xml:space="preserve">☐ </w:t>
      </w:r>
      <w:r>
        <w:rPr>
          <w:rFonts w:ascii="Liberation Sans" w:hAnsi="Liberation Sans"/>
          <w:color w:val="1F1F1F"/>
          <w:sz w:val="18"/>
        </w:rPr>
        <w:t>Open a pull request and complete the “Done when” list.</w:t>
      </w:r>
    </w:p>
    <w:p>
      <w:pPr>
        <w:spacing w:after="26" w:line="240" w:lineRule="auto"/>
        <w:ind w:left="198" w:hanging="142"/>
      </w:pPr>
      <w:r>
        <w:rPr>
          <w:rFonts w:ascii="Liberation Sans" w:hAnsi="Liberation Sans"/>
          <w:sz w:val="18"/>
        </w:rPr>
        <w:t xml:space="preserve">☐ </w:t>
      </w:r>
      <w:r>
        <w:rPr>
          <w:rFonts w:ascii="Liberation Sans" w:hAnsi="Liberation Sans"/>
          <w:color w:val="1F1F1F"/>
          <w:sz w:val="18"/>
        </w:rPr>
        <w:t>Merge, then start the next card.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0" w:space="0" w:color="FCE4D6"/>
          <w:left w:val="single" w:sz="0" w:space="0" w:color="FCE4D6"/>
          <w:bottom w:val="single" w:sz="0" w:space="0" w:color="FCE4D6"/>
          <w:right w:val="single" w:sz="0" w:space="0" w:color="FCE4D6"/>
          <w:insideH w:val="single" w:sz="0" w:space="0" w:color="FCE4D6"/>
          <w:insideV w:val="single" w:sz="0" w:space="0" w:color="FCE4D6"/>
        </w:tblBorders>
      </w:tblPr>
      <w:tblGrid>
        <w:gridCol w:w="10596"/>
      </w:tblGrid>
      <w:tr>
        <w:tc>
          <w:tcPr>
            <w:tcW w:type="dxa" w:w="10596"/>
            <w:shd w:fill="FCE4D6"/>
            <w:tcMar>
              <w:top w:w="100" w:type="dxa"/>
              <w:start w:w="130" w:type="dxa"/>
              <w:bottom w:w="100" w:type="dxa"/>
              <w:end w:w="130" w:type="dxa"/>
            </w:tcMar>
          </w:tcPr>
          <w:p>
            <w:r>
              <w:rPr>
                <w:rFonts w:ascii="Liberation Sans" w:hAnsi="Liberation Sans"/>
                <w:b/>
                <w:color w:val="17365D"/>
                <w:sz w:val="18"/>
              </w:rPr>
              <w:t>Start with 01_MISSION_BUILD_THE_GIT_ROUTINE.docx. Complete one mission at a time.</w:t>
            </w:r>
            <w:r>
              <w:rPr>
                <w:rFonts w:ascii="Liberation Sans" w:hAnsi="Liberation Sans"/>
                <w:color w:val="1F1F1F"/>
                <w:sz w:val="18"/>
              </w:rPr>
            </w:r>
          </w:p>
        </w:tc>
      </w:tr>
    </w:tbl>
    <w:sectPr>
      <w:headerReference w:type="default" r:id="rId9"/>
      <w:footerReference w:type="default" r:id="rId10"/>
      <w:pgSz w:w="12240" w:h="15840"/>
      <w:pgMar w:top="709" w:right="822" w:bottom="709" w:left="82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Liberation Sans" w:hAnsi="Liberation Sans"/>
        <w:color w:val="666666"/>
        <w:sz w:val="15"/>
      </w:rPr>
      <w:t>Use evidence. Commit small. Explain your choices.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Liberation Sans" w:hAnsi="Liberation Sans"/>
        <w:b/>
        <w:color w:val="666666"/>
        <w:sz w:val="15"/>
      </w:rPr>
      <w:t>ACADEMIC SUCCESS ML LAB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60" w:line="247" w:lineRule="auto"/>
    </w:pPr>
    <w:rPr>
      <w:rFonts w:ascii="Liberation Sans" w:hAnsi="Liberation Sans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80" w:after="60"/>
      <w:outlineLvl w:val="0"/>
    </w:pPr>
    <w:rPr>
      <w:rFonts w:asciiTheme="majorHAnsi" w:eastAsiaTheme="majorEastAsia" w:hAnsiTheme="majorHAnsi" w:cstheme="majorBidi" w:ascii="Liberation Sans" w:hAnsi="Liberation Sans"/>
      <w:b/>
      <w:bCs/>
      <w:color w:val="17365D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80" w:after="60"/>
      <w:outlineLvl w:val="1"/>
    </w:pPr>
    <w:rPr>
      <w:rFonts w:asciiTheme="majorHAnsi" w:eastAsiaTheme="majorEastAsia" w:hAnsiTheme="majorHAnsi" w:cstheme="majorBidi" w:ascii="Liberation Sans" w:hAnsi="Liberation Sans"/>
      <w:b/>
      <w:bCs/>
      <w:color w:val="2F75B5"/>
      <w:sz w:val="2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60" w:line="240" w:lineRule="auto" w:before="80"/>
      <w:contextualSpacing/>
    </w:pPr>
    <w:rPr>
      <w:rFonts w:asciiTheme="majorHAnsi" w:eastAsiaTheme="majorEastAsia" w:hAnsiTheme="majorHAnsi" w:cstheme="majorBidi" w:ascii="Liberation Sans" w:hAnsi="Liberation Sans"/>
      <w:b/>
      <w:color w:val="17365D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