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17365D"/>
          <w:left w:val="single" w:sz="0" w:space="0" w:color="17365D"/>
          <w:bottom w:val="single" w:sz="0" w:space="0" w:color="17365D"/>
          <w:right w:val="single" w:sz="0" w:space="0" w:color="17365D"/>
          <w:insideH w:val="single" w:sz="0" w:space="0" w:color="17365D"/>
          <w:insideV w:val="single" w:sz="0" w:space="0" w:color="17365D"/>
        </w:tblBorders>
      </w:tblPr>
      <w:tblGrid>
        <w:gridCol w:w="7841"/>
        <w:gridCol w:w="2755"/>
      </w:tblGrid>
      <w:tr>
        <w:tc>
          <w:tcPr>
            <w:tcW w:type="dxa" w:w="5298"/>
            <w:shd w:fill="17365D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36"/>
              </w:rPr>
              <w:t>FREEZE THE RESEARCH QUESTION</w:t>
            </w:r>
          </w:p>
        </w:tc>
        <w:tc>
          <w:tcPr>
            <w:tcW w:type="dxa" w:w="5298"/>
            <w:shd w:fill="2F75B5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MISSION 03</w:t>
            </w:r>
          </w:p>
        </w:tc>
      </w:tr>
    </w:tbl>
    <w:p>
      <w:pPr>
        <w:spacing w:before="100" w:after="100"/>
      </w:pPr>
      <w:r>
        <w:rPr>
          <w:rFonts w:ascii="Liberation Sans" w:hAnsi="Liberation Sans"/>
          <w:i/>
          <w:color w:val="666666"/>
          <w:sz w:val="21"/>
        </w:rPr>
        <w:t>Target time: 45 minutes  |  Goal: Define exactly what is predicted, when it is predicted and which features are legal.</w:t>
      </w:r>
    </w:p>
    <w:p>
      <w:pPr>
        <w:pStyle w:val="Heading2"/>
      </w:pPr>
      <w:r>
        <w:t>Do this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Read 00_DATA_DICTIONARY.docx.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Create docs/modelling_plan.md.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Write the target, prediction time and unit of analysis.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Create T0 feature set: enrollment-only columns.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Create T1 feature set: enrollment + week-4 columns.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List forbidden end-of-term columns and explain why each leaks future information.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Write one hypothesis: which feature set should perform better, and why?</w:t>
      </w:r>
    </w:p>
    <w:p>
      <w:pPr>
        <w:pStyle w:val="Heading2"/>
      </w:pPr>
      <w:r>
        <w:t>Commit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298"/>
        <w:gridCol w:w="5298"/>
      </w:tblGrid>
      <w:tr>
        <w:tc>
          <w:tcPr>
            <w:tcW w:type="dxa" w:w="5298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When</w:t>
            </w:r>
          </w:p>
        </w:tc>
        <w:tc>
          <w:tcPr>
            <w:tcW w:type="dxa" w:w="5298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Commit message</w:t>
            </w:r>
          </w:p>
        </w:tc>
      </w:tr>
      <w:tr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After definitions</w:t>
            </w:r>
          </w:p>
        </w:tc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define outcome and prediction checkpoint</w:t>
            </w:r>
          </w:p>
        </w:tc>
      </w:tr>
      <w:tr>
        <w:tc>
          <w:tcPr>
            <w:tcW w:type="dxa" w:w="5298"/>
            <w:shd w:fill="F3F6F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After feature sets</w:t>
            </w:r>
          </w:p>
        </w:tc>
        <w:tc>
          <w:tcPr>
            <w:tcW w:type="dxa" w:w="5298"/>
            <w:shd w:fill="F3F6F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document T0 and T1 predictors</w:t>
            </w:r>
          </w:p>
        </w:tc>
      </w:tr>
      <w:tr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After leakage review</w:t>
            </w:r>
          </w:p>
        </w:tc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identify forbidden future features</w:t>
            </w:r>
          </w:p>
        </w:tc>
      </w:tr>
    </w:tbl>
    <w:p>
      <w:pPr>
        <w:pStyle w:val="Heading2"/>
      </w:pPr>
      <w:r>
        <w:t>Done when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9C894"/>
          <w:left w:val="single" w:sz="4" w:space="0" w:color="A9C894"/>
          <w:bottom w:val="single" w:sz="4" w:space="0" w:color="A9C894"/>
          <w:right w:val="single" w:sz="4" w:space="0" w:color="A9C894"/>
          <w:insideH w:val="single" w:sz="4" w:space="0" w:color="A9C894"/>
          <w:insideV w:val="single" w:sz="4" w:space="0" w:color="A9C894"/>
        </w:tblBorders>
      </w:tblPr>
      <w:tblGrid>
        <w:gridCol w:w="10596"/>
      </w:tblGrid>
      <w:tr>
        <w:tc>
          <w:tcPr>
            <w:tcW w:type="dxa" w:w="10596"/>
            <w:shd w:fill="E2F0D9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another person could reproduce the feature sets</w:t>
            </w:r>
          </w:p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student_id is excluded as a predictor</w:t>
            </w:r>
          </w:p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end-of-term columns are clearly forbidden</w:t>
            </w:r>
          </w:p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the hypothesis is written before modelling</w:t>
            </w:r>
          </w:p>
        </w:tc>
      </w:tr>
    </w:tbl>
    <w:sectPr>
      <w:headerReference w:type="default" r:id="rId9"/>
      <w:footerReference w:type="default" r:id="rId10"/>
      <w:pgSz w:w="12240" w:h="15840"/>
      <w:pgMar w:top="709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66666"/>
        <w:sz w:val="15"/>
      </w:rPr>
      <w:t>Use evidence. Commit small. Explain your choices.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666666"/>
        <w:sz w:val="15"/>
      </w:rPr>
      <w:t>ACADEMIC SUCCESS ML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75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80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