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17365D"/>
          <w:left w:val="single" w:sz="0" w:space="0" w:color="17365D"/>
          <w:bottom w:val="single" w:sz="0" w:space="0" w:color="17365D"/>
          <w:right w:val="single" w:sz="0" w:space="0" w:color="17365D"/>
          <w:insideH w:val="single" w:sz="0" w:space="0" w:color="17365D"/>
          <w:insideV w:val="single" w:sz="0" w:space="0" w:color="17365D"/>
        </w:tblBorders>
      </w:tblPr>
      <w:tblGrid>
        <w:gridCol w:w="7841"/>
        <w:gridCol w:w="2755"/>
      </w:tblGrid>
      <w:tr>
        <w:tc>
          <w:tcPr>
            <w:tcW w:type="dxa" w:w="5298"/>
            <w:shd w:fill="17365D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36"/>
              </w:rPr>
              <w:t>CHECK RELIABILITY AND GROUP IMPACT</w:t>
            </w:r>
          </w:p>
        </w:tc>
        <w:tc>
          <w:tcPr>
            <w:tcW w:type="dxa" w:w="5298"/>
            <w:shd w:fill="2F75B5"/>
            <w:tcMar>
              <w:top w:w="115" w:type="dxa"/>
              <w:start w:w="150" w:type="dxa"/>
              <w:bottom w:w="115" w:type="dxa"/>
              <w:end w:w="15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MISSION 07</w:t>
            </w:r>
          </w:p>
        </w:tc>
      </w:tr>
    </w:tbl>
    <w:p>
      <w:pPr>
        <w:spacing w:before="100" w:after="100"/>
      </w:pPr>
      <w:r>
        <w:rPr>
          <w:rFonts w:ascii="Liberation Sans" w:hAnsi="Liberation Sans"/>
          <w:i/>
          <w:color w:val="666666"/>
          <w:sz w:val="21"/>
        </w:rPr>
        <w:t>Target time: 75-90 minutes  |  Goal: Check whether probabilities are useful and whether errors are concentrated in particular student groups.</w:t>
      </w:r>
    </w:p>
    <w:p>
      <w:pPr>
        <w:pStyle w:val="Heading2"/>
      </w:pPr>
      <w:r>
        <w:t>Do this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Calculate Brier score for the valid T1 model.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Create a calibration plot or calibration table.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Report recall and false-positive rate for first_generation groups.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Repeat for age_band.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Test at least two probability thresholds.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Choose a threshold for offering support, not punishment.</w:t>
      </w:r>
    </w:p>
    <w:p>
      <w:pPr>
        <w:spacing w:after="26" w:line="240" w:lineRule="auto"/>
        <w:ind w:left="198" w:hanging="142"/>
      </w:pPr>
      <w:r>
        <w:rPr>
          <w:rFonts w:ascii="Liberation Sans" w:hAnsi="Liberation Sans"/>
          <w:sz w:val="18"/>
        </w:rPr>
        <w:t xml:space="preserve">☐ </w:t>
      </w:r>
      <w:r>
        <w:rPr>
          <w:rFonts w:ascii="Liberation Sans" w:hAnsi="Liberation Sans"/>
          <w:color w:val="1F1F1F"/>
          <w:sz w:val="18"/>
        </w:rPr>
        <w:t>Write one limitation about small subgroup sizes or uncertainty.</w:t>
      </w:r>
    </w:p>
    <w:p>
      <w:pPr>
        <w:pStyle w:val="Heading2"/>
      </w:pPr>
      <w:r>
        <w:t>Commit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298"/>
        <w:gridCol w:w="5298"/>
      </w:tblGrid>
      <w:tr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When</w:t>
            </w:r>
          </w:p>
        </w:tc>
        <w:tc>
          <w:tcPr>
            <w:tcW w:type="dxa" w:w="5298"/>
            <w:shd w:fill="17365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Commit message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calibration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probability reliability analysis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group metrics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add subgroup error checks</w:t>
            </w:r>
          </w:p>
        </w:tc>
      </w:tr>
      <w:tr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thresholds</w:t>
            </w:r>
          </w:p>
        </w:tc>
        <w:tc>
          <w:tcPr>
            <w:tcW w:type="dxa" w:w="5298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compare intervention thresholds</w:t>
            </w:r>
          </w:p>
        </w:tc>
      </w:tr>
      <w:tr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color w:val="1F1F1F"/>
                <w:sz w:val="16"/>
              </w:rPr>
              <w:t>After interpretation</w:t>
            </w:r>
          </w:p>
        </w:tc>
        <w:tc>
          <w:tcPr>
            <w:tcW w:type="dxa" w:w="5298"/>
            <w:shd w:fill="F3F6F9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r>
              <w:rPr>
                <w:rFonts w:ascii="Liberation Sans" w:hAnsi="Liberation Sans"/>
                <w:b/>
                <w:color w:val="17365D"/>
                <w:sz w:val="16"/>
              </w:rPr>
              <w:t>document responsible-use limits</w:t>
            </w:r>
          </w:p>
        </w:tc>
      </w:tr>
    </w:tbl>
    <w:p>
      <w:pPr>
        <w:pStyle w:val="Heading2"/>
      </w:pPr>
      <w:r>
        <w:t>Done when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9C894"/>
          <w:left w:val="single" w:sz="4" w:space="0" w:color="A9C894"/>
          <w:bottom w:val="single" w:sz="4" w:space="0" w:color="A9C894"/>
          <w:right w:val="single" w:sz="4" w:space="0" w:color="A9C894"/>
          <w:insideH w:val="single" w:sz="4" w:space="0" w:color="A9C894"/>
          <w:insideV w:val="single" w:sz="4" w:space="0" w:color="A9C894"/>
        </w:tblBorders>
      </w:tblPr>
      <w:tblGrid>
        <w:gridCol w:w="10596"/>
      </w:tblGrid>
      <w:tr>
        <w:tc>
          <w:tcPr>
            <w:tcW w:type="dxa" w:w="10596"/>
            <w:shd w:fill="E2F0D9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overall and subgroup results are both reported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threshold choice includes a trade-off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group differences are reported without stereotyping</w:t>
            </w:r>
          </w:p>
          <w:p>
            <w:pPr>
              <w:spacing w:after="20"/>
            </w:pPr>
            <w:r>
              <w:rPr>
                <w:rFonts w:ascii="Liberation Sans" w:hAnsi="Liberation Sans"/>
                <w:color w:val="1F1F1F"/>
                <w:sz w:val="17"/>
              </w:rPr>
              <w:t>☐ the tool is framed as human-reviewed support</w:t>
            </w:r>
          </w:p>
        </w:tc>
      </w:tr>
    </w:tbl>
    <w:sectPr>
      <w:headerReference w:type="default" r:id="rId9"/>
      <w:footerReference w:type="default" r:id="rId10"/>
      <w:pgSz w:w="12240" w:h="15840"/>
      <w:pgMar w:top="709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5"/>
      </w:rPr>
      <w:t>Use evidence. Commit small. Explain your choices.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666666"/>
        <w:sz w:val="15"/>
      </w:rPr>
      <w:t>ACADEMIC SUCCESS ML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Liberation Sans" w:hAnsi="Liberation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