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7841"/>
        <w:gridCol w:w="2755"/>
      </w:tblGrid>
      <w:tr>
        <w:tc>
          <w:tcPr>
            <w:tcW w:type="dxa" w:w="5298"/>
            <w:shd w:fill="17365D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REPLICATE ON OPEN DATA</w:t>
            </w:r>
          </w:p>
        </w:tc>
        <w:tc>
          <w:tcPr>
            <w:tcW w:type="dxa" w:w="5298"/>
            <w:shd w:fill="2F75B5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MISSION 11</w:t>
            </w:r>
          </w:p>
        </w:tc>
      </w:tr>
    </w:tbl>
    <w:p>
      <w:pPr>
        <w:spacing w:before="100" w:after="100"/>
      </w:pPr>
      <w:r>
        <w:rPr>
          <w:rFonts w:ascii="Liberation Sans" w:hAnsi="Liberation Sans"/>
          <w:i/>
          <w:color w:val="666666"/>
          <w:sz w:val="21"/>
        </w:rPr>
        <w:t>Target time: 90-120 minutes  |  Goal: Rebuild the study on a public higher-education dataset.</w:t>
      </w:r>
    </w:p>
    <w:p>
      <w:pPr>
        <w:pStyle w:val="Heading2"/>
      </w:pPr>
      <w:r>
        <w:t>Do this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>☐ Read 00_OPEN_DATASETS.docx and use the UCI dataset with ID 697.</w:t>
      </w:r>
      <w:r>
        <w:rPr>
          <w:rFonts w:ascii="Liberation Sans" w:hAnsi="Liberation Sans"/>
          <w:color w:val="1F1F1F"/>
          <w:sz w:val="18"/>
        </w:rPr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>☐ Load the data in src/load_open_data.py and record its DOI and license.</w:t>
      </w:r>
      <w:r>
        <w:rPr>
          <w:rFonts w:ascii="Liberation Sans" w:hAnsi="Liberation Sans"/>
          <w:color w:val="1F1F1F"/>
          <w:sz w:val="18"/>
        </w:rPr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>☐ Define T0 as enrollment-only features and T1 as T0 plus first-semester features.</w:t>
      </w:r>
      <w:r>
        <w:rPr>
          <w:rFonts w:ascii="Liberation Sans" w:hAnsi="Liberation Sans"/>
          <w:color w:val="1F1F1F"/>
          <w:sz w:val="18"/>
        </w:rPr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>☐ Exclude all second-semester predictors from T1 and explain the timing decision.</w:t>
      </w:r>
      <w:r>
        <w:rPr>
          <w:rFonts w:ascii="Liberation Sans" w:hAnsi="Liberation Sans"/>
          <w:color w:val="1F1F1F"/>
          <w:sz w:val="18"/>
        </w:rPr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>☐ Compare dummy and logistic-regression models on one fixed split using macro F1, per-class recall and a confusion matrix.</w:t>
      </w:r>
      <w:r>
        <w:rPr>
          <w:rFonts w:ascii="Liberation Sans" w:hAnsi="Liberation Sans"/>
          <w:color w:val="1F1F1F"/>
          <w:sz w:val="18"/>
        </w:rPr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>☐ Save results/open_data_results.csv and write results/open_data_transfer.md in 300 words or less.</w:t>
      </w:r>
      <w:r>
        <w:rPr>
          <w:rFonts w:ascii="Liberation Sans" w:hAnsi="Liberation Sans"/>
          <w:color w:val="1F1F1F"/>
          <w:sz w:val="18"/>
        </w:rPr>
      </w:r>
    </w:p>
    <w:p>
      <w:pPr>
        <w:pStyle w:val="Heading2"/>
      </w:pPr>
      <w:r>
        <w:t>Commit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298"/>
        <w:gridCol w:w="5298"/>
      </w:tblGrid>
      <w:tr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When</w:t>
            </w:r>
          </w:p>
        </w:tc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Commit message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 w:val="0"/>
                <w:sz w:val="16"/>
              </w:rPr>
              <w:t>After loading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 w:val="0"/>
                <w:sz w:val="16"/>
              </w:rPr>
              <w:t>add reproducible UCI data loader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 w:val="0"/>
                <w:sz w:val="16"/>
              </w:rPr>
              <w:t>After feature audit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 w:val="0"/>
                <w:sz w:val="16"/>
              </w:rPr>
              <w:t>define UCI T0 and T1 predictors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 w:val="0"/>
                <w:sz w:val="16"/>
              </w:rPr>
              <w:t>After modelling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 w:val="0"/>
                <w:sz w:val="16"/>
              </w:rPr>
              <w:t>compare open-data baselines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 w:val="0"/>
                <w:sz w:val="16"/>
              </w:rPr>
              <w:t>After interpretation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 w:val="0"/>
                <w:sz w:val="16"/>
              </w:rPr>
              <w:t>document transfer findings</w:t>
            </w:r>
          </w:p>
        </w:tc>
      </w:tr>
    </w:tbl>
    <w:p>
      <w:pPr>
        <w:pStyle w:val="Heading2"/>
      </w:pPr>
      <w:r>
        <w:t>Done when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894"/>
          <w:left w:val="single" w:sz="4" w:space="0" w:color="A9C894"/>
          <w:bottom w:val="single" w:sz="4" w:space="0" w:color="A9C894"/>
          <w:right w:val="single" w:sz="4" w:space="0" w:color="A9C894"/>
          <w:insideH w:val="single" w:sz="4" w:space="0" w:color="A9C894"/>
          <w:insideV w:val="single" w:sz="4" w:space="0" w:color="A9C894"/>
        </w:tblBorders>
      </w:tblPr>
      <w:tblGrid>
        <w:gridCol w:w="10596"/>
      </w:tblGrid>
      <w:tr>
        <w:tc>
          <w:tcPr>
            <w:tcW w:type="dxa" w:w="10596"/>
            <w:shd w:fill="E2F0D9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sz w:val="17"/>
              </w:rPr>
              <w:t>☐ the official UCI source is cited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☐ T0 and T1 reflect different prediction times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☐ the same split is used for every model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☐ the transfer note states what changed and why</w:t>
            </w:r>
          </w:p>
        </w:tc>
      </w:tr>
    </w:tbl>
    <w:sectPr>
      <w:headerReference w:type="default" r:id="rId9"/>
      <w:footerReference w:type="default" r:id="rId10"/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5"/>
      </w:rPr>
      <w:t>Use evidence. Commit small. Explain your choices.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66666"/>
        <w:sz w:val="15"/>
      </w:rPr>
      <w:t>ACADEMIC SUCCESS ML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