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616FE">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1. Phân tích bài toán: Cơ chế Token và hiệu quả xử lý</w:t>
      </w:r>
    </w:p>
    <w:p w14:paraId="21F801C8">
      <w:pPr>
        <w:pStyle w:val="7"/>
        <w:keepNext w:val="0"/>
        <w:keepLines w:val="0"/>
        <w:widowControl/>
        <w:numPr>
          <w:ilvl w:val="0"/>
          <w:numId w:val="1"/>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Cơ chế Token:</w:t>
      </w:r>
      <w:r>
        <w:rPr>
          <w:rFonts w:hint="default" w:ascii="Times New Roman" w:hAnsi="Times New Roman" w:eastAsia="sans-serif" w:cs="Times New Roman"/>
        </w:rPr>
        <w:t xml:space="preserve"> LLM xử lý văn bản bằng cách cắt thành các chuỗi nhỏ gọi là token.</w:t>
      </w:r>
    </w:p>
    <w:p w14:paraId="692761B4">
      <w:pPr>
        <w:pStyle w:val="7"/>
        <w:keepNext w:val="0"/>
        <w:keepLines w:val="0"/>
        <w:widowControl/>
        <w:numPr>
          <w:ilvl w:val="0"/>
          <w:numId w:val="1"/>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Ưu thế của Markdown:</w:t>
      </w:r>
      <w:r>
        <w:rPr>
          <w:rFonts w:hint="default" w:ascii="Times New Roman" w:hAnsi="Times New Roman" w:eastAsia="sans-serif" w:cs="Times New Roman"/>
        </w:rPr>
        <w:t xml:space="preserve"> Markdown dùng các ký tự cực kỳ tối giản (như </w:t>
      </w:r>
      <w:r>
        <w:rPr>
          <w:rStyle w:val="6"/>
          <w:rFonts w:hint="default" w:ascii="Times New Roman" w:hAnsi="Times New Roman" w:eastAsia="sans-serif" w:cs="Times New Roman"/>
        </w:rPr>
        <w:t>#</w:t>
      </w:r>
      <w:r>
        <w:rPr>
          <w:rFonts w:hint="default" w:ascii="Times New Roman" w:hAnsi="Times New Roman" w:eastAsia="sans-serif" w:cs="Times New Roman"/>
        </w:rPr>
        <w:t xml:space="preserve">, </w:t>
      </w:r>
      <w:r>
        <w:rPr>
          <w:rStyle w:val="6"/>
          <w:rFonts w:hint="default" w:ascii="Times New Roman" w:hAnsi="Times New Roman" w:eastAsia="sans-serif" w:cs="Times New Roman"/>
        </w:rPr>
        <w:t>**</w:t>
      </w:r>
      <w:r>
        <w:rPr>
          <w:rFonts w:hint="default" w:ascii="Times New Roman" w:hAnsi="Times New Roman" w:eastAsia="sans-serif" w:cs="Times New Roman"/>
        </w:rPr>
        <w:t>), ít bị tokenizer cắt nhỏ, giữ số lượng token ở mức thấp. Ngược lại, HTML dùng các thẻ dài dòng (</w:t>
      </w:r>
      <w:r>
        <w:rPr>
          <w:rStyle w:val="6"/>
          <w:rFonts w:hint="default" w:ascii="Times New Roman" w:hAnsi="Times New Roman" w:eastAsia="sans-serif" w:cs="Times New Roman"/>
        </w:rPr>
        <w:t>&lt;strong&gt;...&lt;/strong&gt;</w:t>
      </w:r>
      <w:r>
        <w:rPr>
          <w:rFonts w:hint="default" w:ascii="Times New Roman" w:hAnsi="Times New Roman" w:eastAsia="sans-serif" w:cs="Times New Roman"/>
        </w:rPr>
        <w:t>), sinh ra lượng token rác khổng lồ.</w:t>
      </w:r>
    </w:p>
    <w:p w14:paraId="016D7472">
      <w:pPr>
        <w:pStyle w:val="7"/>
        <w:keepNext w:val="0"/>
        <w:keepLines w:val="0"/>
        <w:widowControl/>
        <w:numPr>
          <w:ilvl w:val="0"/>
          <w:numId w:val="1"/>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Hiệu năng:</w:t>
      </w:r>
      <w:r>
        <w:rPr>
          <w:rFonts w:hint="default" w:ascii="Times New Roman" w:hAnsi="Times New Roman" w:eastAsia="sans-serif" w:cs="Times New Roman"/>
        </w:rPr>
        <w:t xml:space="preserve"> Ít token hơn giúp giảm chi phí gọi API, giảm tải ngữ cảnh và tăng tốc độ phản hồi của AI.</w:t>
      </w:r>
    </w:p>
    <w:p w14:paraId="75F69DFA">
      <w:pPr>
        <w:pStyle w:val="2"/>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So sánh Markdown &amp; HTML &amp; Giải pháp cho "GreenTech"</w:t>
      </w:r>
    </w:p>
    <w:p w14:paraId="32A43049">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Bảng so sánh</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40"/>
        <w:gridCol w:w="3410"/>
        <w:gridCol w:w="3191"/>
      </w:tblGrid>
      <w:tr w14:paraId="4587A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0A9EF5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Tiêu chí</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4794D1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Markdown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290EE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HTML</w:t>
            </w:r>
          </w:p>
        </w:tc>
      </w:tr>
      <w:tr w14:paraId="6F2BD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D27C2F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Cú pháp (In đậm)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EE0ED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**văn bản**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006360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&lt;strong&gt;văn bản&lt;/strong&gt;</w:t>
            </w:r>
          </w:p>
        </w:tc>
      </w:tr>
      <w:tr w14:paraId="73903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6F677C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Số lượng Token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38E92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Thấp (Tối ưu chi phí và tốc độ)</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19D33A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Cao (Tốn nhiều tài nguyên)</w:t>
            </w:r>
          </w:p>
        </w:tc>
      </w:tr>
      <w:tr w14:paraId="24957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AC491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Tính Human-readable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E7FA6C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Rất cao, sạch sẽ, dễ đọc ngay cả khi dạng thô</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9223DD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Thấp, bị nhiễu nặng bởi các thẻ cú pháp</w:t>
            </w:r>
          </w:p>
        </w:tc>
      </w:tr>
      <w:tr w14:paraId="733CB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62C83C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Độ phức tạp</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1F33C4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Chỉ phù hợp tài liệu văn bản tiêu chuẩn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78D10ED">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Hỗ trợ giao diện và tùy biến phức tạp</w:t>
            </w:r>
          </w:p>
        </w:tc>
      </w:tr>
    </w:tbl>
    <w:p w14:paraId="3D137ADB">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Giải pháp tối ưu cho "GreenTech"</w:t>
      </w:r>
    </w:p>
    <w:p w14:paraId="4096CE0F">
      <w:pPr>
        <w:pStyle w:val="7"/>
        <w:keepNext w:val="0"/>
        <w:keepLines w:val="0"/>
        <w:widowControl/>
        <w:numPr>
          <w:ilvl w:val="0"/>
          <w:numId w:val="1"/>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Lựa chọn:</w:t>
      </w:r>
      <w:r>
        <w:rPr>
          <w:rFonts w:hint="default" w:ascii="Times New Roman" w:hAnsi="Times New Roman" w:eastAsia="sans-serif" w:cs="Times New Roman"/>
        </w:rPr>
        <w:t xml:space="preserve"> Sử dụng </w:t>
      </w:r>
      <w:r>
        <w:rPr>
          <w:rFonts w:hint="default" w:ascii="Times New Roman" w:hAnsi="Times New Roman" w:eastAsia="sans-serif" w:cs="Times New Roman"/>
          <w:b/>
          <w:bCs/>
        </w:rPr>
        <w:t>Markdown</w:t>
      </w:r>
      <w:r>
        <w:rPr>
          <w:rFonts w:hint="default" w:ascii="Times New Roman" w:hAnsi="Times New Roman" w:eastAsia="sans-serif" w:cs="Times New Roman"/>
        </w:rPr>
        <w:t>.</w:t>
      </w:r>
    </w:p>
    <w:p w14:paraId="72AD8421">
      <w:pPr>
        <w:pStyle w:val="7"/>
        <w:keepNext w:val="0"/>
        <w:keepLines w:val="0"/>
        <w:widowControl/>
        <w:numPr>
          <w:ilvl w:val="0"/>
          <w:numId w:val="1"/>
        </w:numPr>
        <w:suppressLineNumbers w:val="0"/>
        <w:spacing w:before="0" w:beforeAutospacing="0" w:line="17" w:lineRule="atLeast"/>
        <w:ind w:left="420" w:leftChars="0" w:right="0" w:hanging="420" w:firstLineChars="0"/>
        <w:rPr>
          <w:rFonts w:hint="default" w:ascii="Times New Roman" w:hAnsi="Times New Roman" w:eastAsia="sans-serif" w:cs="Times New Roman"/>
        </w:rPr>
      </w:pPr>
      <w:r>
        <w:rPr>
          <w:rFonts w:hint="default" w:ascii="Times New Roman" w:hAnsi="Times New Roman" w:eastAsia="sans-serif" w:cs="Times New Roman"/>
          <w:b/>
          <w:bCs/>
        </w:rPr>
        <w:t>Lý do:</w:t>
      </w:r>
      <w:r>
        <w:rPr>
          <w:rFonts w:hint="default" w:ascii="Times New Roman" w:hAnsi="Times New Roman" w:eastAsia="sans-serif" w:cs="Times New Roman"/>
        </w:rPr>
        <w:t xml:space="preserve"> Giúp hệ thống AI trả kết quả nhanh chóng cho nông dân qua thiết bị di động, tiết kiệm chi phí vận hành token tối đa, đồng thời giữ ngữ cảnh sạch sẽ giúp AI phân tích chính xác các thông tin nông nghiệp chuyên sâu mà không bị nhiễu bởi các thẻ định dạng rườm rà.</w:t>
      </w:r>
    </w:p>
    <w:p w14:paraId="568E41C3">
      <w:pPr>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F9A9BF"/>
    <w:multiLevelType w:val="singleLevel"/>
    <w:tmpl w:val="A0F9A9B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F62935"/>
    <w:rsid w:val="03F62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2026-10-16T14:39:00Z</dcterms:created>
  <dc:creator>tan khuu</dc:creator>
  <cp:lastModifiedBy>tan khuu</cp:lastModifiedBy>
  <dcterms:modified xsi:type="dcterms:W3CDTF">2026-10-16T14:41:12Z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51BD3984644747EBBAEB2BEC54D459E0_11</vt:lpwstr>
  </property>
  <property fmtid="{D5CDD505-2E9C-101B-9397-08002B2CF9AE}" pid="4" name="KSOTemplateDocerSaveRecord">
    <vt:lpwstr>eyJoZGlkIjoiNDM0NzgzMzRmNmU3YTdiYTZmNjU0ZTU1MTQ2MTdlYWEiLCJ1c2VySWQiOiIxMzc0NDEwODU2NjA5In0=</vt:lpwstr>
  </property>
</Properties>
</file>