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PayKX</w:t>
      </w:r>
    </w:p>
    <w:p>
      <w:pPr>
        <w:jc w:val="center"/>
      </w:pPr>
      <w:r>
        <w:rPr>
          <w:b/>
          <w:sz w:val="36"/>
        </w:rPr>
        <w:t>TÀI LIỆU ĐẶC TẢ YÊU CẦU PHẦN MỀM (SRS)</w:t>
      </w:r>
    </w:p>
    <w:p>
      <w:pPr>
        <w:jc w:val="center"/>
      </w:pPr>
      <w:r>
        <w:rPr>
          <w:b/>
        </w:rPr>
        <w:t>Chức năng: Hoàn tiền giao dịch ví điện tử</w:t>
        <w:br/>
      </w:r>
      <w:r>
        <w:t>Phiên bản 1.0 | Ngày 25/10/2026 | Chủ sở hữu: Nhóm dự án PayKX</w:t>
      </w:r>
    </w:p>
    <w:p>
      <w:r>
        <w:t>Mục đích: mô tả yêu cầu nghiệp vụ, chức năng và tiêu chí kiểm thử cho tính năng hoàn tiền của ví điện tử dành cho sinh viên. Dữ liệu trong tài liệu là dữ liệu mô phỏng phục vụ học tập.</w:t>
      </w:r>
    </w:p>
    <w:p>
      <w:pPr>
        <w:pStyle w:val="Heading1"/>
      </w:pPr>
      <w:r>
        <w:t>Hướng dẫn cập nhật mục lục</w:t>
      </w:r>
    </w:p>
    <w:p>
      <w:r>
        <w:t>Mục lục được tạo bằng trường TOC tự động. Mở tài liệu bằng Microsoft Word, nhấp phải vào mục lục và chọn Update Field → Update entire table để cập nhật số trang.</w:t>
      </w:r>
    </w:p>
    <w:p>
      <w:pPr>
        <w:pStyle w:val="Heading1"/>
      </w:pPr>
      <w:r>
        <w:t>Mục lục</w:t>
      </w:r>
    </w:p>
    <w:p/>
    <w:fldSimple w:instr="TOC \o &quot;1-2&quot; \h \z \u"/>
    <w:p>
      <w:r>
        <w:br w:type="page"/>
      </w:r>
    </w:p>
    <w:p>
      <w:pPr>
        <w:pStyle w:val="Heading1"/>
      </w:pPr>
      <w:r>
        <w:t>1. Giới thiệu</w:t>
      </w:r>
    </w:p>
    <w:p>
      <w:pPr>
        <w:pStyle w:val="Heading2"/>
      </w:pPr>
      <w:r>
        <w:t>1.1 Mục đích và phạm vi</w:t>
      </w:r>
    </w:p>
    <w:p>
      <w:r>
        <w:t>Tài liệu xác định cách PayKX tiếp nhận, xét duyệt, ghi nhận và thông báo kết quả hoàn tiền. Phạm vi gồm giao dịch thanh toán đủ điều kiện, yêu cầu hoàn tiền, đối soát với đối tác ngân hàng và theo dõi trạng thái. Tài liệu không mô tả quy trình khiếu nại pháp lý hoặc quy trình hoàn tiền do đối tác tự xử lý ngoài hệ thống.</w:t>
      </w:r>
    </w:p>
    <w:p>
      <w:pPr>
        <w:pStyle w:val="Heading2"/>
      </w:pPr>
      <w:r>
        <w:t>1.2 Đối tượng sử dụng</w:t>
      </w:r>
    </w:p>
    <w:p>
      <w:r>
        <w:t>Đối tượng gồm nhóm phát triển, kiểm thử, vận hành, chăm sóc khách hàng, bộ phận tài chính và đối tác ngân hàng. Nhóm phát triển dùng tài liệu để xây dựng API và giao diện; nhóm kiểm thử dùng các yêu cầu và tiêu chí chấp nhận để lập ca kiểm thử.</w:t>
      </w:r>
    </w:p>
    <w:p>
      <w:pPr>
        <w:pStyle w:val="Heading2"/>
      </w:pPr>
      <w:r>
        <w:t>1.3 Thuật ngữ</w:t>
      </w:r>
    </w:p>
    <w:p>
      <w:r>
        <w:t>Giao dịch: một hoạt động thanh toán có mã duy nhất. Hoàn tiền: trả lại toàn bộ hoặc một phần giá trị giao dịch hợp lệ. Đối soát: so sánh dữ liệu PayKX với dữ liệu đối tác. Idempotency: bảo đảm yêu cầu gửi lặp không tạo ra nhiều khoản hoàn.</w:t>
      </w:r>
    </w:p>
    <w:p>
      <w:pPr>
        <w:pStyle w:val="Heading2"/>
      </w:pPr>
      <w:r>
        <w:t>1.4 Giả định và phụ thuộc</w:t>
      </w:r>
    </w:p>
    <w:p>
      <w:r>
        <w:t>Người dùng đã xác thực tài khoản; giao dịch gốc tồn tại và có mã tham chiếu; đối tác ngân hàng cung cấp trạng thái giao dịch qua API hoặc tệp đối soát. Thời gian xử lý thực tế phụ thuộc vào SLA của đối tác và quy định vận hành.</w:t>
      </w:r>
    </w:p>
    <w:p>
      <w:r>
        <w:br w:type="page"/>
      </w:r>
    </w:p>
    <w:p>
      <w:pPr>
        <w:pStyle w:val="Heading1"/>
      </w:pPr>
      <w:r>
        <w:t>2. Mô tả tổng quan</w:t>
      </w:r>
    </w:p>
    <w:p>
      <w:pPr>
        <w:pStyle w:val="Heading2"/>
      </w:pPr>
      <w:r>
        <w:t>2.1 Vai trò người dùng</w:t>
      </w:r>
    </w:p>
    <w:p>
      <w:r>
        <w:t>Sinh viên có thể gửi yêu cầu hoàn tiền và theo dõi trạng thái. Nhân viên vận hành xem các yêu cầu bất thường, xử lý ngoại lệ theo quyền được cấp. Quản trị viên cấu hình hạn mức, lý do hoàn tiền và quyền truy cập. Hệ thống ngân hàng là bên xác nhận kết quả chuyển tiền.</w:t>
      </w:r>
    </w:p>
    <w:p>
      <w:pPr>
        <w:pStyle w:val="Heading2"/>
      </w:pPr>
      <w:r>
        <w:t>2.2 Quy trình nghiệp vụ</w:t>
      </w:r>
    </w:p>
    <w:p>
      <w:r>
        <w:t>Quy trình chuẩn: người dùng chọn giao dịch → hệ thống kiểm tra điều kiện → tạo yêu cầu và mã tham chiếu → gửi yêu cầu tới dịch vụ thanh toán → nhận kết quả → cập nhật số dư/sổ cái → thông báo người dùng → đưa giao dịch vào kỳ đối soát.</w:t>
      </w:r>
    </w:p>
    <w:p>
      <w:pPr>
        <w:pStyle w:val="Heading2"/>
      </w:pPr>
      <w:r>
        <w:t>2.3 Quy tắc nghiệp vụ</w:t>
      </w:r>
    </w:p>
    <w:p>
      <w:r>
        <w:t>Một giao dịch chỉ được hoàn tối đa bằng số tiền đã thanh toán trừ phần đã hoàn trước đó. Giao dịch đang chờ xử lý không được tạo yêu cầu trùng. Mọi thay đổi trạng thái phải có dấu thời gian và nhật ký kiểm toán. Giao dịch bị từ chối phải có mã lý do để hỗ trợ tra cứu.</w:t>
      </w:r>
    </w:p>
    <w:p>
      <w:pPr>
        <w:pStyle w:val="Heading2"/>
      </w:pPr>
      <w:r>
        <w:t>2.4 Ngoài phạm vi</w:t>
      </w:r>
    </w:p>
    <w:p>
      <w:r>
        <w:t>Không bao gồm xử lý tranh chấp thẻ, hoàn tiền ngoại tệ, hoàn tiền thủ công không có phê duyệt hoặc thay đổi dữ liệu giao dịch trực tiếp trong cơ sở dữ liệu.</w:t>
      </w:r>
    </w:p>
    <w:p>
      <w:r>
        <w:br w:type="page"/>
      </w:r>
    </w:p>
    <w:p>
      <w:pPr>
        <w:pStyle w:val="Heading1"/>
      </w:pPr>
      <w:r>
        <w:t>3. Yêu cầu chức năng</w:t>
      </w:r>
    </w:p>
    <w:p>
      <w:pPr>
        <w:pStyle w:val="Heading2"/>
      </w:pPr>
      <w:r>
        <w:t>3.1 FR-01 — Gửi yêu cầu hoàn tiền</w:t>
      </w:r>
    </w:p>
    <w:p>
      <w:r>
        <w:t>Hệ thống phải cho phép người dùng chọn một giao dịch đủ điều kiện, chọn lý do và xác nhận yêu cầu. Trường bắt buộc gồm mã giao dịch, lý do và số tiền đề nghị. Hệ thống kiểm tra số tiền lớn hơn 0 và không vượt quá số dư có thể hoàn.</w:t>
      </w:r>
    </w:p>
    <w:p>
      <w:r>
        <w:t>Tiêu chí chấp nhận: yêu cầu hợp lệ được cấp mã yêu cầu duy nhất; yêu cầu không hợp lệ hiển thị thông báo rõ ràng và không tạo giao dịch hoàn.</w:t>
      </w:r>
    </w:p>
    <w:p>
      <w:pPr>
        <w:pStyle w:val="Heading2"/>
      </w:pPr>
      <w:r>
        <w:t>3.2 FR-02 — Kiểm tra điều kiện và chống trùng</w:t>
      </w:r>
    </w:p>
    <w:p>
      <w:r>
        <w:t>Hệ thống phải xác minh giao dịch gốc thuộc người dùng hiện tại, đã thành công và chưa hoàn đủ. Mỗi yêu cầu phải có khóa chống lặp (idempotency key). Khi nhận lại cùng khóa, hệ thống trả về kết quả của yêu cầu cũ thay vì tạo yêu cầu mới.</w:t>
      </w:r>
    </w:p>
    <w:p>
      <w:r>
        <w:t>Tiêu chí chấp nhận: yêu cầu sai chủ sở hữu, giao dịch thất bại hoặc vượt hạn mức bị từ chối; hai yêu cầu đồng thời không được làm tổng tiền hoàn vượt số tiền hợp lệ.</w:t>
      </w:r>
    </w:p>
    <w:p>
      <w:pPr>
        <w:pStyle w:val="Heading2"/>
      </w:pPr>
      <w:r>
        <w:t>3.3 FR-03 — Xử lý và cập nhật trạng thái</w:t>
      </w:r>
    </w:p>
    <w:p>
      <w:r>
        <w:t>Hệ thống ghi nhận các trạng thái: Đã tiếp nhận, Đang xử lý, Thành công, Từ chối và Cần kiểm tra. Chỉ dịch vụ được phân quyền mới có thể chuyển trạng thái. Khi đối tác xác nhận thành công, hệ thống ghi bút toán hoàn tiền đúng một lần.</w:t>
      </w:r>
    </w:p>
    <w:p>
      <w:pPr>
        <w:pStyle w:val="Heading2"/>
      </w:pPr>
      <w:r>
        <w:t>3.4 FR-04 — Thông báo và tra cứu</w:t>
      </w:r>
    </w:p>
    <w:p>
      <w:r>
        <w:t>Người dùng có thể xem mã yêu cầu, số tiền, thời gian tạo, trạng thái và lý do từ chối. Hệ thống gửi thông báo trong ứng dụng khi trạng thái thay đổi; lỗi gửi thông báo không được làm thay đổi kết quả tài chính.</w:t>
      </w:r>
    </w:p>
    <w:p>
      <w:r>
        <w:br w:type="page"/>
      </w:r>
    </w:p>
    <w:p>
      <w:pPr>
        <w:pStyle w:val="Heading1"/>
      </w:pPr>
      <w:r>
        <w:t>4. Dữ liệu, bảo mật và kiểm thử</w:t>
      </w:r>
    </w:p>
    <w:p>
      <w:pPr>
        <w:pStyle w:val="Heading2"/>
      </w:pPr>
      <w:r>
        <w:t>4.1 Dữ liệu và đối soát</w:t>
      </w:r>
    </w:p>
    <w:p>
      <w:r>
        <w:t>Bản ghi hoàn tiền tối thiểu gồm refund_id, transaction_id, user_id, amount, reason, status, created_at, updated_at, partner_reference và idempotency_key. Mã định danh phải duy nhất; số tiền lưu theo đơn vị tiền tệ nhỏ nhất hoặc kiểu thập phân chính xác, không dùng số dấu phẩy động.</w:t>
      </w:r>
    </w:p>
    <w:p>
      <w:r>
        <w:t>Đối soát hằng ngày so sánh mã tham chiếu, số tiền và trạng thái giữa PayKX và ngân hàng. Bản ghi chênh lệch được đánh dấu để kiểm tra, không tự ý sửa dữ liệu gốc. Mọi thao tác điều chỉnh cần người thực hiện, lý do và dấu thời gian.</w:t>
      </w:r>
    </w:p>
    <w:p>
      <w:pPr>
        <w:pStyle w:val="Heading2"/>
      </w:pPr>
      <w:r>
        <w:t>4.2 Yêu cầu phi chức năng</w:t>
      </w:r>
    </w:p>
    <w:p>
      <w:r>
        <w:t>Bảo mật: xác thực và phân quyền theo vai trò; che thông tin nhạy cảm trong log; mã hóa dữ liệu khi truyền. Tính toàn vẹn: lưu vết thay đổi trạng thái và bảo đảm xử lý lặp an toàn. Hiệu năng mục tiêu: 95% yêu cầu được tiếp nhận trong 2 giây, không tính thời gian chờ đối tác. Khả dụng và thời gian khôi phục được xác định theo SLA vận hành.</w:t>
      </w:r>
    </w:p>
    <w:p>
      <w:pPr>
        <w:pStyle w:val="Heading2"/>
      </w:pPr>
      <w:r>
        <w:t>4.3 Kế hoạch kiểm thử</w:t>
      </w:r>
    </w:p>
    <w:p>
      <w:r>
        <w:t>Kiểm thử các trường hợp: hoàn toàn bộ, hoàn một phần, số tiền bằng 0, vượt số tiền có thể hoàn, giao dịch không tồn tại, sai chủ sở hữu, gửi yêu cầu lặp, đối tác timeout, trạng thái đối tác không khớp và lỗi thông báo. Kiểm tra nhật ký kiểm toán và số dư sau mỗi trường hợp.</w:t>
      </w:r>
    </w:p>
    <w:p>
      <w:pPr>
        <w:pStyle w:val="Heading2"/>
      </w:pPr>
      <w:r>
        <w:t>4.4 Tiêu chí nghiệm thu</w:t>
      </w:r>
    </w:p>
    <w:p>
      <w:r>
        <w:t>Tất cả ca kiểm thử mức nghiêm trọng cao phải đạt; không có trường hợp hoàn trùng hoặc vượt số tiền; số liệu đối soát truy vết được; các vai trò chỉ truy cập đúng chức năng; tài liệu và hướng dẫn vận hành được bàn giao.</w:t>
      </w:r>
    </w:p>
    <w:p>
      <w:pPr>
        <w:pStyle w:val="Heading1"/>
      </w:pPr>
      <w:r>
        <w:t>5. Phê duyệt</w:t>
      </w:r>
    </w:p>
    <w:p>
      <w:r>
        <w:t>Đại diện nghiệp vụ: ____________________    Ngày: __________</w:t>
        <w:br/>
        <w:t>Trưởng dự án: _________________________    Ngày: __________</w:t>
      </w:r>
    </w:p>
    <w:p>
      <w:r>
        <w:t>Ghi chú: Đây là mẫu SRS học tập. Trước khi triển khai thật, cần rà soát yêu cầu pháp lý, bảo mật, quản lý rủi ro và SLA với đối tác.</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PayKX | SRS Hoàn tiền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