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Calibri" w:cs="Calibri" w:ascii="Calibri" w:hAnsi="Calibri"/>
          <w:b/>
          <w:bCs/>
          <w:color w:val="C89B3C"/>
          <w:spacing w:val="40"/>
          <w:sz w:val="24"/>
          <w:szCs w:val="24"/>
        </w:rPr>
        <w:t>CONCEPT NOTE</w:t>
      </w:r>
    </w:p>
    <w:p>
      <w:pPr>
        <w:pStyle w:val="Normal"/>
        <w:spacing w:before="0" w:after="40"/>
        <w:jc w:val="center"/>
        <w:rPr/>
      </w:pPr>
      <w:r>
        <w:rPr>
          <w:rFonts w:eastAsia="Cambria" w:cs="Cambria" w:ascii="Cambria" w:hAnsi="Cambria"/>
          <w:b/>
          <w:bCs/>
          <w:color w:val="1B2A4A"/>
          <w:sz w:val="52"/>
          <w:szCs w:val="52"/>
        </w:rPr>
        <w:t>TISA INTER-UNIVERSITY</w:t>
      </w:r>
    </w:p>
    <w:p>
      <w:pPr>
        <w:pStyle w:val="Normal"/>
        <w:spacing w:before="0" w:after="40"/>
        <w:jc w:val="center"/>
        <w:rPr/>
      </w:pPr>
      <w:r>
        <w:rPr>
          <w:rFonts w:eastAsia="Cambria" w:cs="Cambria" w:ascii="Cambria" w:hAnsi="Cambria"/>
          <w:b/>
          <w:bCs/>
          <w:color w:val="1B2A4A"/>
          <w:sz w:val="52"/>
          <w:szCs w:val="52"/>
        </w:rPr>
        <w:t>ICT CHALLENGE 2027</w:t>
      </w:r>
    </w:p>
    <w:p>
      <w:pPr>
        <w:pStyle w:val="Normal"/>
        <w:spacing w:before="0" w:after="500"/>
        <w:rPr/>
      </w:pPr>
      <w:r>
        <w:rPr/>
      </w:r>
    </w:p>
    <w:p>
      <w:pPr>
        <w:pStyle w:val="Normal"/>
        <w:pBdr>
          <w:top w:val="single" w:sz="6" w:space="14" w:color="D5DAE1"/>
        </w:pBdr>
        <w:spacing w:before="0" w:after="0"/>
        <w:jc w:val="center"/>
        <w:rPr/>
      </w:pPr>
      <w:r>
        <w:rPr/>
      </w:r>
    </w:p>
    <w:p>
      <w:pPr>
        <w:pStyle w:val="Normal"/>
        <w:spacing w:before="0" w:after="50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color w:val="5A6472"/>
          <w:sz w:val="20"/>
          <w:szCs w:val="20"/>
        </w:rPr>
        <w:t>Prepared by</w:t>
      </w:r>
    </w:p>
    <w:p>
      <w:pPr>
        <w:pStyle w:val="Normal"/>
        <w:spacing w:before="0" w:after="30"/>
        <w:jc w:val="center"/>
        <w:rPr/>
      </w:pPr>
      <w:r>
        <w:rPr>
          <w:rFonts w:eastAsia="Calibri" w:cs="Calibri" w:ascii="Calibri" w:hAnsi="Calibri"/>
          <w:b/>
          <w:bCs/>
          <w:color w:val="1B2A4A"/>
          <w:sz w:val="26"/>
          <w:szCs w:val="26"/>
        </w:rPr>
        <w:t>Aine Mbabazi Khuzaifah</w:t>
      </w:r>
    </w:p>
    <w:p>
      <w:pPr>
        <w:pStyle w:val="Normal"/>
        <w:spacing w:before="0" w:after="260"/>
        <w:jc w:val="center"/>
        <w:rPr/>
      </w:pPr>
      <w:r>
        <w:rPr>
          <w:rFonts w:eastAsia="Calibri" w:cs="Calibri" w:ascii="Calibri" w:hAnsi="Calibri"/>
          <w:color w:val="5A6472"/>
          <w:sz w:val="21"/>
          <w:szCs w:val="21"/>
        </w:rPr>
        <w:t>Vice President, TISA — UICT</w:t>
      </w:r>
    </w:p>
    <w:p>
      <w:pPr>
        <w:pStyle w:val="Normal"/>
        <w:spacing w:before="0" w:after="30"/>
        <w:jc w:val="center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Presented to: The Executive Board, TISA — UICT</w:t>
      </w:r>
    </w:p>
    <w:p>
      <w:pPr>
        <w:pStyle w:val="Normal"/>
        <w:spacing w:before="0" w:after="30"/>
        <w:jc w:val="center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Date: [Insert Date]</w:t>
      </w:r>
    </w:p>
    <w:p>
      <w:pPr>
        <w:pStyle w:val="Normal"/>
        <w:spacing w:before="0" w:after="0"/>
        <w:jc w:val="center"/>
        <w:rPr/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Calibri" w:cs="Calibri" w:ascii="Calibri" w:hAnsi="Calibri"/>
          <w:i/>
          <w:iCs/>
          <w:color w:val="222222"/>
          <w:sz w:val="21"/>
          <w:szCs w:val="21"/>
        </w:rPr>
        <w:t>Status: For Discussion and Approval</w:t>
      </w:r>
    </w:p>
    <w:p>
      <w:pPr>
        <w:pStyle w:val="Normal"/>
        <w:spacing w:before="0" w:after="200"/>
        <w:rPr/>
      </w:pPr>
      <w:r>
        <w:rPr>
          <w:rFonts w:eastAsia="Cambria" w:cs="Cambria" w:ascii="Cambria" w:hAnsi="Cambria"/>
          <w:b/>
          <w:bCs/>
          <w:color w:val="1B2A4A"/>
          <w:sz w:val="30"/>
          <w:szCs w:val="30"/>
        </w:rPr>
        <w:t>Table of Contents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1. Executive Summary</w:t>
      </w:r>
      <w:r>
        <w:rPr/>
        <w:tab/>
      </w:r>
      <w:r>
        <w:rPr>
          <w:rFonts w:eastAsia="Calibri" w:cs="Calibri" w:ascii="Calibri" w:hAnsi="Calibri"/>
          <w:color w:val="5A6472"/>
          <w:sz w:val="22"/>
          <w:szCs w:val="22"/>
        </w:rPr>
        <w:t>3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2. Background and Rationale</w:t>
      </w:r>
      <w:r>
        <w:rPr/>
        <w:tab/>
      </w:r>
      <w:r>
        <w:rPr>
          <w:rFonts w:eastAsia="Calibri" w:cs="Calibri" w:ascii="Calibri" w:hAnsi="Calibri"/>
          <w:color w:val="5A6472"/>
          <w:sz w:val="22"/>
          <w:szCs w:val="22"/>
        </w:rPr>
        <w:t>3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3. Vision and Mission</w:t>
      </w:r>
      <w:r>
        <w:rPr/>
        <w:tab/>
      </w:r>
      <w:r>
        <w:rPr>
          <w:rFonts w:eastAsia="Calibri" w:cs="Calibri" w:ascii="Calibri" w:hAnsi="Calibri"/>
          <w:color w:val="5A6472"/>
          <w:sz w:val="22"/>
          <w:szCs w:val="22"/>
        </w:rPr>
        <w:t>3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4. What Makes This Challenge Different</w:t>
      </w:r>
      <w:r>
        <w:rPr/>
        <w:tab/>
      </w:r>
      <w:r>
        <w:rPr>
          <w:rFonts w:eastAsia="Calibri" w:cs="Calibri" w:ascii="Calibri" w:hAnsi="Calibri"/>
          <w:color w:val="5A6472"/>
          <w:sz w:val="22"/>
          <w:szCs w:val="22"/>
        </w:rPr>
        <w:t>4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5. Objectives</w:t>
      </w:r>
      <w:r>
        <w:rPr/>
        <w:tab/>
      </w:r>
      <w:r>
        <w:rPr>
          <w:rFonts w:eastAsia="Calibri" w:cs="Calibri" w:ascii="Calibri" w:hAnsi="Calibri"/>
          <w:color w:val="5A6472"/>
          <w:sz w:val="22"/>
          <w:szCs w:val="22"/>
        </w:rPr>
        <w:t>4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6. Proposed Task Force</w:t>
      </w:r>
      <w:r>
        <w:rPr/>
        <w:tab/>
      </w:r>
      <w:r>
        <w:rPr>
          <w:rFonts w:eastAsia="Calibri" w:cs="Calibri" w:ascii="Calibri" w:hAnsi="Calibri"/>
          <w:color w:val="5A6472"/>
          <w:sz w:val="22"/>
          <w:szCs w:val="22"/>
        </w:rPr>
        <w:t>4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7. Competition Format</w:t>
      </w:r>
      <w:r>
        <w:rPr/>
        <w:tab/>
      </w:r>
      <w:r>
        <w:rPr>
          <w:rFonts w:eastAsia="Calibri" w:cs="Calibri" w:ascii="Calibri" w:hAnsi="Calibri"/>
          <w:color w:val="5A6472"/>
          <w:sz w:val="22"/>
          <w:szCs w:val="22"/>
        </w:rPr>
        <w:t>5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8. Timeline</w:t>
      </w:r>
      <w:r>
        <w:rPr/>
        <w:tab/>
      </w:r>
      <w:r>
        <w:rPr>
          <w:rFonts w:eastAsia="Calibri" w:cs="Calibri" w:ascii="Calibri" w:hAnsi="Calibri"/>
          <w:color w:val="5A6472"/>
          <w:sz w:val="22"/>
          <w:szCs w:val="22"/>
        </w:rPr>
        <w:t>6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9. Budget Overview</w:t>
      </w:r>
      <w:r>
        <w:rPr/>
        <w:tab/>
      </w:r>
      <w:r>
        <w:rPr>
          <w:rFonts w:eastAsia="Calibri" w:cs="Calibri" w:ascii="Calibri" w:hAnsi="Calibri"/>
          <w:color w:val="5A6472"/>
          <w:sz w:val="22"/>
          <w:szCs w:val="22"/>
        </w:rPr>
        <w:t>6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10. Expected Outcomes</w:t>
      </w:r>
      <w:r>
        <w:rPr/>
        <w:tab/>
      </w:r>
      <w:r>
        <w:rPr>
          <w:rFonts w:eastAsia="Calibri" w:cs="Calibri" w:ascii="Calibri" w:hAnsi="Calibri"/>
          <w:color w:val="5A6472"/>
          <w:sz w:val="22"/>
          <w:szCs w:val="22"/>
        </w:rPr>
        <w:t>7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11. Risks and Mitigation</w:t>
      </w:r>
      <w:r>
        <w:rPr/>
        <w:tab/>
      </w:r>
      <w:r>
        <w:rPr>
          <w:rFonts w:eastAsia="Calibri" w:cs="Calibri" w:ascii="Calibri" w:hAnsi="Calibri"/>
          <w:color w:val="5A6472"/>
          <w:sz w:val="22"/>
          <w:szCs w:val="22"/>
        </w:rPr>
        <w:t>7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12. What We Are Asking From the Executive Board</w:t>
      </w:r>
      <w:r>
        <w:rPr/>
        <w:tab/>
      </w:r>
      <w:r>
        <w:rPr>
          <w:rFonts w:eastAsia="Calibri" w:cs="Calibri" w:ascii="Calibri" w:hAnsi="Calibri"/>
          <w:color w:val="5A6472"/>
          <w:sz w:val="22"/>
          <w:szCs w:val="22"/>
        </w:rPr>
        <w:t>7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13. Conclusion</w:t>
      </w:r>
      <w:r>
        <w:rPr/>
        <w:tab/>
      </w:r>
      <w:r>
        <w:rPr>
          <w:rFonts w:eastAsia="Calibri" w:cs="Calibri" w:ascii="Calibri" w:hAnsi="Calibri"/>
          <w:color w:val="5A6472"/>
          <w:sz w:val="22"/>
          <w:szCs w:val="22"/>
        </w:rPr>
        <w:t>8</w:t>
      </w:r>
    </w:p>
    <w:p>
      <w:pPr>
        <w:pStyle w:val="Normal"/>
        <w:spacing w:before="0" w:after="14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Next Steps After Approval</w:t>
      </w:r>
      <w:r>
        <w:rPr/>
        <w:tab/>
      </w:r>
      <w:r>
        <w:rPr>
          <w:rFonts w:eastAsia="Calibri" w:cs="Calibri" w:ascii="Calibri" w:hAnsi="Calibri"/>
          <w:color w:val="5A6472"/>
          <w:sz w:val="22"/>
          <w:szCs w:val="22"/>
        </w:rPr>
        <w:t>9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6BB8"/>
        </w:pBdr>
        <w:spacing w:before="0" w:after="160"/>
        <w:rPr/>
      </w:pPr>
      <w:r>
        <w:rPr>
          <w:rFonts w:eastAsia="Cambria" w:cs="Cambria" w:ascii="Cambria" w:hAnsi="Cambria"/>
          <w:b/>
          <w:bCs/>
          <w:color w:val="1B2A4A"/>
          <w:sz w:val="30"/>
          <w:szCs w:val="30"/>
        </w:rPr>
        <w:t>1. Executive Summary</w:t>
      </w:r>
    </w:p>
    <w:p>
      <w:pPr>
        <w:pStyle w:val="Normal"/>
        <w:spacing w:lineRule="auto" w:line="276" w:before="0" w:after="16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The TISA Inter-University ICT Challenge 2027 is a national competition that will bring together university students from across Uganda to build deployable ICT solutions for real Ugandan problems.</w:t>
      </w:r>
    </w:p>
    <w:p>
      <w:pPr>
        <w:pStyle w:val="Normal"/>
        <w:spacing w:lineRule="auto" w:line="276" w:before="0" w:after="16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 xml:space="preserve">Unlike existing competitions that are led by a single sector, this challenge will be </w:t>
      </w:r>
      <w:r>
        <w:rPr>
          <w:rFonts w:eastAsia="Calibri" w:cs="Calibri" w:ascii="Calibri" w:hAnsi="Calibri"/>
          <w:b/>
          <w:bCs/>
          <w:color w:val="222222"/>
          <w:sz w:val="22"/>
          <w:szCs w:val="22"/>
        </w:rPr>
        <w:t>co-owned by students, government, and private industry</w:t>
      </w:r>
      <w:r>
        <w:rPr>
          <w:rFonts w:eastAsia="Calibri" w:cs="Calibri" w:ascii="Calibri" w:hAnsi="Calibri"/>
          <w:color w:val="222222"/>
          <w:sz w:val="22"/>
          <w:szCs w:val="22"/>
        </w:rPr>
        <w:t xml:space="preserve">. It will be </w:t>
      </w:r>
      <w:r>
        <w:rPr>
          <w:rFonts w:eastAsia="Calibri" w:cs="Calibri" w:ascii="Calibri" w:hAnsi="Calibri"/>
          <w:b/>
          <w:bCs/>
          <w:color w:val="222222"/>
          <w:sz w:val="22"/>
          <w:szCs w:val="22"/>
        </w:rPr>
        <w:t>hosted by TISA at UICT</w:t>
      </w:r>
      <w:r>
        <w:rPr>
          <w:rFonts w:eastAsia="Calibri" w:cs="Calibri" w:ascii="Calibri" w:hAnsi="Calibri"/>
          <w:color w:val="222222"/>
          <w:sz w:val="22"/>
          <w:szCs w:val="22"/>
        </w:rPr>
        <w:t xml:space="preserve"> and will run from </w:t>
      </w:r>
      <w:r>
        <w:rPr>
          <w:rFonts w:eastAsia="Calibri" w:cs="Calibri" w:ascii="Calibri" w:hAnsi="Calibri"/>
          <w:b/>
          <w:bCs/>
          <w:color w:val="222222"/>
          <w:sz w:val="22"/>
          <w:szCs w:val="22"/>
        </w:rPr>
        <w:t>October 2026 to December 2027</w:t>
      </w:r>
      <w:r>
        <w:rPr>
          <w:rFonts w:eastAsia="Calibri" w:cs="Calibri" w:ascii="Calibri" w:hAnsi="Calibri"/>
          <w:color w:val="222222"/>
          <w:sz w:val="22"/>
          <w:szCs w:val="22"/>
        </w:rPr>
        <w:t xml:space="preserve">, with the main event in </w:t>
      </w:r>
      <w:r>
        <w:rPr>
          <w:rFonts w:eastAsia="Calibri" w:cs="Calibri" w:ascii="Calibri" w:hAnsi="Calibri"/>
          <w:b/>
          <w:bCs/>
          <w:color w:val="222222"/>
          <w:sz w:val="22"/>
          <w:szCs w:val="22"/>
        </w:rPr>
        <w:t>August 2027</w:t>
      </w:r>
      <w:r>
        <w:rPr>
          <w:rFonts w:eastAsia="Calibri" w:cs="Calibri" w:ascii="Calibri" w:hAnsi="Calibri"/>
          <w:color w:val="222222"/>
          <w:sz w:val="22"/>
          <w:szCs w:val="22"/>
        </w:rPr>
        <w:t>.</w:t>
      </w:r>
    </w:p>
    <w:p>
      <w:pPr>
        <w:pStyle w:val="Normal"/>
        <w:spacing w:lineRule="auto" w:line="276" w:before="0" w:after="16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The challenge is designed to:</w:t>
      </w:r>
    </w:p>
    <w:p>
      <w:pPr>
        <w:pStyle w:val="ListParagraph"/>
        <w:numPr>
          <w:ilvl w:val="0"/>
          <w:numId w:val="8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Position TISA as a national leader in student innovation.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Attract funding and partnerships that benefit the entire association.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Produce real solutions that are deployed to solve real problems.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Create opportunities for TISA members — internships, mentorship, jobs, and skills.</w:t>
      </w:r>
    </w:p>
    <w:p>
      <w:pPr>
        <w:pStyle w:val="Heading1"/>
        <w:pBdr>
          <w:bottom w:val="single" w:sz="8" w:space="6" w:color="2E6BB8"/>
        </w:pBdr>
        <w:spacing w:before="380" w:after="160"/>
        <w:rPr/>
      </w:pPr>
      <w:r>
        <w:rPr>
          <w:rFonts w:eastAsia="Cambria" w:cs="Cambria" w:ascii="Cambria" w:hAnsi="Cambria"/>
          <w:b/>
          <w:bCs/>
          <w:color w:val="1B2A4A"/>
          <w:sz w:val="30"/>
          <w:szCs w:val="30"/>
        </w:rPr>
        <w:t>2. Background and Rationale</w:t>
      </w:r>
    </w:p>
    <w:p>
      <w:pPr>
        <w:pStyle w:val="Normal"/>
        <w:spacing w:lineRule="auto" w:line="276" w:before="0" w:after="16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Uganda's ICT innovation ecosystem is growing, but it remains fragmented. Several competitions already exist:</w:t>
      </w:r>
    </w:p>
    <w:p>
      <w:pPr>
        <w:pStyle w:val="Normal"/>
        <w:spacing w:before="0" w:after="80"/>
        <w:rPr/>
      </w:pPr>
      <w:r>
        <w:rPr/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400"/>
        <w:gridCol w:w="2349"/>
        <w:gridCol w:w="2601"/>
        <w:gridCol w:w="2000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Competition</w:t>
            </w:r>
          </w:p>
        </w:tc>
        <w:tc>
          <w:tcPr>
            <w:tcW w:w="234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Organizer</w:t>
            </w:r>
          </w:p>
        </w:tc>
        <w:tc>
          <w:tcPr>
            <w:tcW w:w="260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0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</w:tr>
      <w:tr>
        <w:trPr/>
        <w:tc>
          <w:tcPr>
            <w:tcW w:w="24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Huawei ICT Competition</w:t>
            </w:r>
          </w:p>
        </w:tc>
        <w:tc>
          <w:tcPr>
            <w:tcW w:w="234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Huawei (private)</w:t>
            </w:r>
          </w:p>
        </w:tc>
        <w:tc>
          <w:tcPr>
            <w:tcW w:w="260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Network, Cloud, Computing, Innovation</w:t>
            </w:r>
          </w:p>
        </w:tc>
        <w:tc>
          <w:tcPr>
            <w:tcW w:w="20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Corporate-led; focused on Huawei technologies</w:t>
            </w:r>
          </w:p>
        </w:tc>
      </w:tr>
      <w:tr>
        <w:trPr/>
        <w:tc>
          <w:tcPr>
            <w:tcW w:w="24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AIFest Inter-University Hackathon</w:t>
            </w:r>
          </w:p>
        </w:tc>
        <w:tc>
          <w:tcPr>
            <w:tcW w:w="234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GDG Makerere (student-led)</w:t>
            </w:r>
          </w:p>
        </w:tc>
        <w:tc>
          <w:tcPr>
            <w:tcW w:w="260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AI Agents for Uganda</w:t>
            </w:r>
          </w:p>
        </w:tc>
        <w:tc>
          <w:tcPr>
            <w:tcW w:w="20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Student-led but limited to AI</w:t>
            </w:r>
          </w:p>
        </w:tc>
      </w:tr>
      <w:tr>
        <w:trPr/>
        <w:tc>
          <w:tcPr>
            <w:tcW w:w="24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UCC Communications Testbed Hackathon</w:t>
            </w:r>
          </w:p>
        </w:tc>
        <w:tc>
          <w:tcPr>
            <w:tcW w:w="234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UCC (government)</w:t>
            </w:r>
          </w:p>
        </w:tc>
        <w:tc>
          <w:tcPr>
            <w:tcW w:w="260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Child Online Protection</w:t>
            </w:r>
          </w:p>
        </w:tc>
        <w:tc>
          <w:tcPr>
            <w:tcW w:w="20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Government-led; single theme</w:t>
            </w:r>
          </w:p>
        </w:tc>
      </w:tr>
      <w:tr>
        <w:trPr/>
        <w:tc>
          <w:tcPr>
            <w:tcW w:w="24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Bank of Uganda Hackathon</w:t>
            </w:r>
          </w:p>
        </w:tc>
        <w:tc>
          <w:tcPr>
            <w:tcW w:w="234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Bank of Uganda (government)</w:t>
            </w:r>
          </w:p>
        </w:tc>
        <w:tc>
          <w:tcPr>
            <w:tcW w:w="260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Digital solutions</w:t>
            </w:r>
          </w:p>
        </w:tc>
        <w:tc>
          <w:tcPr>
            <w:tcW w:w="20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Government-led; short duration</w:t>
            </w:r>
          </w:p>
        </w:tc>
      </w:tr>
      <w:tr>
        <w:trPr/>
        <w:tc>
          <w:tcPr>
            <w:tcW w:w="24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UNACU National ICT Contest</w:t>
            </w:r>
          </w:p>
        </w:tc>
        <w:tc>
          <w:tcPr>
            <w:tcW w:w="234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UNACU (non-profit)</w:t>
            </w:r>
          </w:p>
        </w:tc>
        <w:tc>
          <w:tcPr>
            <w:tcW w:w="260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Social, environmental, health problems</w:t>
            </w:r>
          </w:p>
        </w:tc>
        <w:tc>
          <w:tcPr>
            <w:tcW w:w="20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Non-profit-led; limited visibility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auto" w:line="276" w:before="0" w:after="160"/>
        <w:rPr/>
      </w:pPr>
      <w:r>
        <w:rPr>
          <w:rFonts w:eastAsia="Calibri" w:cs="Calibri" w:ascii="Calibri" w:hAnsi="Calibri"/>
          <w:b/>
          <w:bCs/>
          <w:color w:val="222222"/>
          <w:sz w:val="22"/>
          <w:szCs w:val="22"/>
        </w:rPr>
        <w:t xml:space="preserve">The gap: </w:t>
      </w:r>
      <w:r>
        <w:rPr>
          <w:rFonts w:eastAsia="Calibri" w:cs="Calibri" w:ascii="Calibri" w:hAnsi="Calibri"/>
          <w:color w:val="222222"/>
          <w:sz w:val="22"/>
          <w:szCs w:val="22"/>
        </w:rPr>
        <w:t>No existing competition is truly co-owned by students, government, and private industry. No existing competition guarantees that winning solutions are deployed. And no existing competition is hosted by a student association.</w:t>
      </w:r>
    </w:p>
    <w:p>
      <w:pPr>
        <w:pStyle w:val="Normal"/>
        <w:spacing w:lineRule="auto" w:line="276" w:before="0" w:after="160"/>
        <w:rPr/>
      </w:pPr>
      <w:r>
        <w:rPr>
          <w:rFonts w:eastAsia="Calibri" w:cs="Calibri" w:ascii="Calibri" w:hAnsi="Calibri"/>
          <w:b/>
          <w:bCs/>
          <w:color w:val="1B2A4A"/>
          <w:sz w:val="22"/>
          <w:szCs w:val="22"/>
        </w:rPr>
        <w:t>TISA is uniquely positioned to fill this gap.</w:t>
      </w:r>
    </w:p>
    <w:p>
      <w:pPr>
        <w:pStyle w:val="Heading1"/>
        <w:pBdr>
          <w:bottom w:val="single" w:sz="8" w:space="6" w:color="2E6BB8"/>
        </w:pBdr>
        <w:spacing w:before="380" w:after="160"/>
        <w:rPr/>
      </w:pPr>
      <w:r>
        <w:rPr>
          <w:rFonts w:eastAsia="Cambria" w:cs="Cambria" w:ascii="Cambria" w:hAnsi="Cambria"/>
          <w:b/>
          <w:bCs/>
          <w:color w:val="1B2A4A"/>
          <w:sz w:val="30"/>
          <w:szCs w:val="30"/>
        </w:rPr>
        <w:t>3. Vision and Mission</w:t>
      </w:r>
    </w:p>
    <w:p>
      <w:pPr>
        <w:pStyle w:val="Heading2"/>
        <w:spacing w:before="260" w:after="120"/>
        <w:rPr/>
      </w:pPr>
      <w:r>
        <w:rPr>
          <w:rFonts w:eastAsia="Cambria" w:cs="Cambria" w:ascii="Cambria" w:hAnsi="Cambria"/>
          <w:b/>
          <w:bCs/>
          <w:color w:val="1B2A4A"/>
          <w:sz w:val="24"/>
          <w:szCs w:val="24"/>
        </w:rPr>
        <w:t>Vision</w:t>
      </w:r>
    </w:p>
    <w:p>
      <w:pPr>
        <w:pStyle w:val="Normal"/>
        <w:spacing w:lineRule="auto" w:line="276" w:before="0" w:after="16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To make TISA the leading student-led innovation hub in Uganda, connecting students, government, and industry to build technology that solves real problems.</w:t>
      </w:r>
    </w:p>
    <w:p>
      <w:pPr>
        <w:pStyle w:val="Heading2"/>
        <w:spacing w:before="260" w:after="120"/>
        <w:rPr/>
      </w:pPr>
      <w:r>
        <w:rPr>
          <w:rFonts w:eastAsia="Cambria" w:cs="Cambria" w:ascii="Cambria" w:hAnsi="Cambria"/>
          <w:b/>
          <w:bCs/>
          <w:color w:val="1B2A4A"/>
          <w:sz w:val="24"/>
          <w:szCs w:val="24"/>
        </w:rPr>
        <w:t>Mission</w:t>
      </w:r>
    </w:p>
    <w:p>
      <w:pPr>
        <w:pStyle w:val="Normal"/>
        <w:spacing w:lineRule="auto" w:line="276" w:before="0" w:after="16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To organize an annual inter-university ICT challenge that: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Brings together students from all Ugandan universities.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Partners with government and private sector organizations.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Produces deployable ICT solutions for Uganda's biggest challenges.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Creates lasting opportunities for TISA members.</w:t>
      </w:r>
    </w:p>
    <w:p>
      <w:pPr>
        <w:pStyle w:val="Heading1"/>
        <w:pBdr>
          <w:bottom w:val="single" w:sz="8" w:space="6" w:color="2E6BB8"/>
        </w:pBdr>
        <w:spacing w:before="380" w:after="160"/>
        <w:rPr/>
      </w:pPr>
      <w:r>
        <w:rPr>
          <w:rFonts w:eastAsia="Cambria" w:cs="Cambria" w:ascii="Cambria" w:hAnsi="Cambria"/>
          <w:b/>
          <w:bCs/>
          <w:color w:val="1B2A4A"/>
          <w:sz w:val="30"/>
          <w:szCs w:val="30"/>
        </w:rPr>
        <w:t>4. What Makes This Challenge Different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999"/>
        <w:gridCol w:w="3600"/>
        <w:gridCol w:w="3751"/>
      </w:tblGrid>
      <w:tr>
        <w:trPr>
          <w:tblHeader w:val="true"/>
        </w:trPr>
        <w:tc>
          <w:tcPr>
            <w:tcW w:w="199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Existing Competitions</w:t>
            </w:r>
          </w:p>
        </w:tc>
        <w:tc>
          <w:tcPr>
            <w:tcW w:w="375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TISA Inter-University ICT Challenge</w:t>
            </w:r>
          </w:p>
        </w:tc>
      </w:tr>
      <w:tr>
        <w:trPr/>
        <w:tc>
          <w:tcPr>
            <w:tcW w:w="199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Ownership</w:t>
            </w:r>
          </w:p>
        </w:tc>
        <w:tc>
          <w:tcPr>
            <w:tcW w:w="3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Single sector (corporate, government, or student)</w:t>
            </w:r>
          </w:p>
        </w:tc>
        <w:tc>
          <w:tcPr>
            <w:tcW w:w="375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Tri-sector: students + government + private sector</w:t>
            </w:r>
          </w:p>
        </w:tc>
      </w:tr>
      <w:tr>
        <w:trPr/>
        <w:tc>
          <w:tcPr>
            <w:tcW w:w="199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Focus</w:t>
            </w:r>
          </w:p>
        </w:tc>
        <w:tc>
          <w:tcPr>
            <w:tcW w:w="3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Specific technology or theme</w:t>
            </w:r>
          </w:p>
        </w:tc>
        <w:tc>
          <w:tcPr>
            <w:tcW w:w="375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Any technology, any Ugandan problem</w:t>
            </w:r>
          </w:p>
        </w:tc>
      </w:tr>
      <w:tr>
        <w:trPr/>
        <w:tc>
          <w:tcPr>
            <w:tcW w:w="199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Duration</w:t>
            </w:r>
          </w:p>
        </w:tc>
        <w:tc>
          <w:tcPr>
            <w:tcW w:w="3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Weekend or a few weeks</w:t>
            </w:r>
          </w:p>
        </w:tc>
        <w:tc>
          <w:tcPr>
            <w:tcW w:w="375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Year-long program with mentorship</w:t>
            </w:r>
          </w:p>
        </w:tc>
      </w:tr>
      <w:tr>
        <w:trPr/>
        <w:tc>
          <w:tcPr>
            <w:tcW w:w="199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Outcome</w:t>
            </w:r>
          </w:p>
        </w:tc>
        <w:tc>
          <w:tcPr>
            <w:tcW w:w="3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Prizes only</w:t>
            </w:r>
          </w:p>
        </w:tc>
        <w:tc>
          <w:tcPr>
            <w:tcW w:w="375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Deployment of winning solutions</w:t>
            </w:r>
          </w:p>
        </w:tc>
      </w:tr>
      <w:tr>
        <w:trPr/>
        <w:tc>
          <w:tcPr>
            <w:tcW w:w="199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Host</w:t>
            </w:r>
          </w:p>
        </w:tc>
        <w:tc>
          <w:tcPr>
            <w:tcW w:w="3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Company, government agency, or NGO</w:t>
            </w:r>
          </w:p>
        </w:tc>
        <w:tc>
          <w:tcPr>
            <w:tcW w:w="375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Student association (TISA)</w:t>
            </w:r>
          </w:p>
        </w:tc>
      </w:tr>
      <w:tr>
        <w:trPr/>
        <w:tc>
          <w:tcPr>
            <w:tcW w:w="199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Legacy</w:t>
            </w:r>
          </w:p>
        </w:tc>
        <w:tc>
          <w:tcPr>
            <w:tcW w:w="3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Event ends</w:t>
            </w:r>
          </w:p>
        </w:tc>
        <w:tc>
          <w:tcPr>
            <w:tcW w:w="375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Alumni network, incubation, annual edition</w:t>
            </w:r>
          </w:p>
        </w:tc>
      </w:tr>
    </w:tbl>
    <w:p>
      <w:pPr>
        <w:pStyle w:val="Heading1"/>
        <w:pBdr>
          <w:bottom w:val="single" w:sz="8" w:space="6" w:color="2E6BB8"/>
        </w:pBdr>
        <w:spacing w:before="380" w:after="160"/>
        <w:rPr/>
      </w:pPr>
      <w:r>
        <w:rPr>
          <w:rFonts w:eastAsia="Cambria" w:cs="Cambria" w:ascii="Cambria" w:hAnsi="Cambria"/>
          <w:b/>
          <w:bCs/>
          <w:color w:val="1B2A4A"/>
          <w:sz w:val="30"/>
          <w:szCs w:val="30"/>
        </w:rPr>
        <w:t>5. Objectives</w:t>
      </w:r>
    </w:p>
    <w:p>
      <w:pPr>
        <w:pStyle w:val="ListParagraph"/>
        <w:numPr>
          <w:ilvl w:val="0"/>
          <w:numId w:val="9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To organize Uganda's first tri-sector inter-university ICT challenge.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 xml:space="preserve">To attract at least </w:t>
      </w:r>
      <w:r>
        <w:rPr>
          <w:rFonts w:eastAsia="Calibri" w:cs="Calibri" w:ascii="Calibri" w:hAnsi="Calibri"/>
          <w:color w:val="222222"/>
          <w:sz w:val="22"/>
          <w:szCs w:val="22"/>
        </w:rPr>
        <w:t>1</w:t>
      </w:r>
      <w:r>
        <w:rPr>
          <w:rFonts w:eastAsia="Calibri" w:cs="Calibri" w:ascii="Calibri" w:hAnsi="Calibri"/>
          <w:color w:val="222222"/>
          <w:sz w:val="22"/>
          <w:szCs w:val="22"/>
        </w:rPr>
        <w:t>0 university teams from across Uganda.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To secure partnerships with at least 5 government and private sector organizations.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To deploy at least 3 winning solutions with partner organizations.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To position TISA as a national leader in student innovation.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To create internships, mentorships, and job opportunities for TISA members.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To generate funding and in-kind support for TISA's long-term sustainability.</w:t>
      </w:r>
    </w:p>
    <w:p>
      <w:pPr>
        <w:pStyle w:val="Heading1"/>
        <w:pBdr>
          <w:bottom w:val="single" w:sz="8" w:space="6" w:color="2E6BB8"/>
        </w:pBdr>
        <w:spacing w:before="380" w:after="160"/>
        <w:rPr/>
      </w:pPr>
      <w:r>
        <w:rPr>
          <w:rFonts w:eastAsia="Cambria" w:cs="Cambria" w:ascii="Cambria" w:hAnsi="Cambria"/>
          <w:b/>
          <w:bCs/>
          <w:color w:val="1B2A4A"/>
          <w:sz w:val="30"/>
          <w:szCs w:val="30"/>
        </w:rPr>
        <w:t>6. Proposed Task Force</w:t>
      </w:r>
    </w:p>
    <w:p>
      <w:pPr>
        <w:pStyle w:val="Normal"/>
        <w:spacing w:lineRule="auto" w:line="276" w:before="0" w:after="16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To execute this initiative, I propose a dedicated task force drawn from the TISA Executive Board and general membership. The following members are proposed:</w:t>
      </w:r>
    </w:p>
    <w:p>
      <w:pPr>
        <w:pStyle w:val="Normal"/>
        <w:spacing w:before="0" w:after="80"/>
        <w:rPr/>
      </w:pPr>
      <w:r>
        <w:rPr/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600"/>
        <w:gridCol w:w="3199"/>
        <w:gridCol w:w="355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9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55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>
        <w:trPr/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20"/>
                <w:szCs w:val="20"/>
              </w:rPr>
              <w:t>Project Lead</w:t>
            </w:r>
          </w:p>
        </w:tc>
        <w:tc>
          <w:tcPr>
            <w:tcW w:w="319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Aine Mbabazi Khuzaifah (Vice President)</w:t>
            </w:r>
          </w:p>
        </w:tc>
        <w:tc>
          <w:tcPr>
            <w:tcW w:w="355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Overall coordination, partner outreach, reporting to Executive Board</w:t>
            </w:r>
          </w:p>
        </w:tc>
      </w:tr>
      <w:tr>
        <w:trPr/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20"/>
                <w:szCs w:val="20"/>
              </w:rPr>
              <w:t>President</w:t>
            </w:r>
          </w:p>
        </w:tc>
        <w:tc>
          <w:tcPr>
            <w:tcW w:w="319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Waasswa Elwin</w:t>
            </w:r>
          </w:p>
        </w:tc>
        <w:tc>
          <w:tcPr>
            <w:tcW w:w="355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Strategic oversight, high-level partner meetings, government liaison</w:t>
            </w:r>
          </w:p>
        </w:tc>
      </w:tr>
      <w:tr>
        <w:trPr/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20"/>
                <w:szCs w:val="20"/>
              </w:rPr>
              <w:t>Publicity Secretary</w:t>
            </w:r>
          </w:p>
        </w:tc>
        <w:tc>
          <w:tcPr>
            <w:tcW w:w="319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Phionah Wuafi</w:t>
            </w:r>
          </w:p>
        </w:tc>
        <w:tc>
          <w:tcPr>
            <w:tcW w:w="355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Branding, social media, campus tours, media coverage, communications</w:t>
            </w:r>
          </w:p>
        </w:tc>
      </w:tr>
      <w:tr>
        <w:trPr/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20"/>
                <w:szCs w:val="20"/>
              </w:rPr>
              <w:t>Speaker</w:t>
            </w:r>
          </w:p>
        </w:tc>
        <w:tc>
          <w:tcPr>
            <w:tcW w:w="319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Wambi Benard</w:t>
            </w:r>
          </w:p>
        </w:tc>
        <w:tc>
          <w:tcPr>
            <w:tcW w:w="355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Rules and governance, judging process, code of conduct, dispute resolution</w:t>
            </w:r>
          </w:p>
        </w:tc>
      </w:tr>
      <w:tr>
        <w:trPr/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20"/>
                <w:szCs w:val="20"/>
              </w:rPr>
              <w:t>Additional Member (co-opted)</w:t>
            </w:r>
          </w:p>
        </w:tc>
        <w:tc>
          <w:tcPr>
            <w:tcW w:w="319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[To be nominated]</w:t>
            </w:r>
          </w:p>
        </w:tc>
        <w:tc>
          <w:tcPr>
            <w:tcW w:w="355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Logistics, budgeting, event management</w:t>
            </w:r>
          </w:p>
        </w:tc>
      </w:tr>
      <w:tr>
        <w:trPr/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20"/>
                <w:szCs w:val="20"/>
              </w:rPr>
              <w:t>Additional Member (co-opted)</w:t>
            </w:r>
          </w:p>
        </w:tc>
        <w:tc>
          <w:tcPr>
            <w:tcW w:w="3199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[To be nominated]</w:t>
            </w:r>
          </w:p>
        </w:tc>
        <w:tc>
          <w:tcPr>
            <w:tcW w:w="3551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Mentor recruitment, participant support, university liaison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540"/>
      </w:tblGrid>
      <w:tr>
        <w:trPr/>
        <w:tc>
          <w:tcPr>
            <w:tcW w:w="9540" w:type="dxa"/>
            <w:tcBorders>
              <w:top w:val="single" w:sz="4" w:space="0" w:color="2E6BB8"/>
              <w:start w:val="single" w:sz="4" w:space="0" w:color="2E6BB8"/>
              <w:bottom w:val="single" w:sz="4" w:space="0" w:color="2E6BB8"/>
              <w:end w:val="single" w:sz="4" w:space="0" w:color="2E6BB8"/>
            </w:tcBorders>
            <w:shd w:fill="EAF1FB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E6BB8"/>
                <w:sz w:val="18"/>
                <w:szCs w:val="18"/>
              </w:rPr>
              <w:t>NOTE</w:t>
            </w:r>
          </w:p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 w:ascii="Calibri" w:hAnsi="Calibri"/>
                <w:i/>
                <w:iCs/>
                <w:color w:val="222222"/>
                <w:sz w:val="21"/>
                <w:szCs w:val="21"/>
              </w:rPr>
              <w:t>Additional members may be co-opted from the general membership based on skills and availability. The task force will report to the Executive Board monthly.</w:t>
            </w:r>
          </w:p>
        </w:tc>
      </w:tr>
    </w:tbl>
    <w:p>
      <w:pPr>
        <w:pStyle w:val="Heading1"/>
        <w:pBdr>
          <w:bottom w:val="single" w:sz="8" w:space="6" w:color="2E6BB8"/>
        </w:pBdr>
        <w:spacing w:before="380" w:after="160"/>
        <w:rPr/>
      </w:pPr>
      <w:r>
        <w:rPr>
          <w:rFonts w:eastAsia="Cambria" w:cs="Cambria" w:ascii="Cambria" w:hAnsi="Cambria"/>
          <w:b/>
          <w:bCs/>
          <w:color w:val="1B2A4A"/>
          <w:sz w:val="30"/>
          <w:szCs w:val="30"/>
        </w:rPr>
        <w:t>7. Competition Format</w:t>
      </w:r>
    </w:p>
    <w:p>
      <w:pPr>
        <w:pStyle w:val="Heading2"/>
        <w:spacing w:before="260" w:after="120"/>
        <w:rPr/>
      </w:pPr>
      <w:r>
        <w:rPr>
          <w:rFonts w:eastAsia="Cambria" w:cs="Cambria" w:ascii="Cambria" w:hAnsi="Cambria"/>
          <w:b/>
          <w:bCs/>
          <w:color w:val="1B2A4A"/>
          <w:sz w:val="24"/>
          <w:szCs w:val="24"/>
        </w:rPr>
        <w:t>7.1 Eligibility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Open to all registered students of Ugandan universities.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Teams of 2–5 members.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Any discipline (not just ICT students).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At least one member must be a TISA member (for TISA members to benefit directly).</w:t>
      </w:r>
    </w:p>
    <w:p>
      <w:pPr>
        <w:pStyle w:val="Heading2"/>
        <w:spacing w:before="260" w:after="120"/>
        <w:rPr/>
      </w:pPr>
      <w:r>
        <w:rPr>
          <w:rFonts w:eastAsia="Cambria" w:cs="Cambria" w:ascii="Cambria" w:hAnsi="Cambria"/>
          <w:b/>
          <w:bCs/>
          <w:color w:val="1B2A4A"/>
          <w:sz w:val="24"/>
          <w:szCs w:val="24"/>
        </w:rPr>
        <w:t>7.2 Tracks</w:t>
      </w:r>
    </w:p>
    <w:p>
      <w:pPr>
        <w:pStyle w:val="Normal"/>
        <w:spacing w:lineRule="auto" w:line="276" w:before="0" w:after="16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Teams will choose one of the following tracks:</w:t>
      </w:r>
    </w:p>
    <w:p>
      <w:pPr>
        <w:pStyle w:val="ListParagraph"/>
        <w:numPr>
          <w:ilvl w:val="0"/>
          <w:numId w:val="10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Health – Digital health solutions, telemedicine, health records.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Agriculture – Farmer support, supply chain, market access.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Education – E-learning, teacher support, student assessment.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Governance – Civic engagement, transparency, public service delivery.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Fintech – Financial inclusion, mobile money, savings, credit.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Open Track – Any other real Ugandan problem.</w:t>
      </w:r>
    </w:p>
    <w:p>
      <w:pPr>
        <w:pStyle w:val="Heading2"/>
        <w:spacing w:before="260" w:after="120"/>
        <w:rPr/>
      </w:pPr>
      <w:r>
        <w:rPr>
          <w:rFonts w:eastAsia="Cambria" w:cs="Cambria" w:ascii="Cambria" w:hAnsi="Cambria"/>
          <w:b/>
          <w:bCs/>
          <w:color w:val="1B2A4A"/>
          <w:sz w:val="24"/>
          <w:szCs w:val="24"/>
        </w:rPr>
        <w:t>7.3 Judging Criteria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b/>
          <w:bCs/>
          <w:color w:val="222222"/>
          <w:sz w:val="22"/>
          <w:szCs w:val="22"/>
        </w:rPr>
        <w:t>Innovation</w:t>
      </w:r>
      <w:r>
        <w:rPr>
          <w:rFonts w:eastAsia="Calibri" w:cs="Calibri" w:ascii="Calibri" w:hAnsi="Calibri"/>
          <w:color w:val="222222"/>
          <w:sz w:val="22"/>
          <w:szCs w:val="22"/>
        </w:rPr>
        <w:t xml:space="preserve"> – Is the solution new or significantly better?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b/>
          <w:bCs/>
          <w:color w:val="222222"/>
          <w:sz w:val="22"/>
          <w:szCs w:val="22"/>
        </w:rPr>
        <w:t>Feasibility</w:t>
      </w:r>
      <w:r>
        <w:rPr>
          <w:rFonts w:eastAsia="Calibri" w:cs="Calibri" w:ascii="Calibri" w:hAnsi="Calibri"/>
          <w:color w:val="222222"/>
          <w:sz w:val="22"/>
          <w:szCs w:val="22"/>
        </w:rPr>
        <w:t xml:space="preserve"> – Can it be built and deployed?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b/>
          <w:bCs/>
          <w:color w:val="222222"/>
          <w:sz w:val="22"/>
          <w:szCs w:val="22"/>
        </w:rPr>
        <w:t>Impact</w:t>
      </w:r>
      <w:r>
        <w:rPr>
          <w:rFonts w:eastAsia="Calibri" w:cs="Calibri" w:ascii="Calibri" w:hAnsi="Calibri"/>
          <w:color w:val="222222"/>
          <w:sz w:val="22"/>
          <w:szCs w:val="22"/>
        </w:rPr>
        <w:t xml:space="preserve"> – Does it solve a real problem for real people?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b/>
          <w:bCs/>
          <w:color w:val="222222"/>
          <w:sz w:val="22"/>
          <w:szCs w:val="22"/>
        </w:rPr>
        <w:t>Scalability</w:t>
      </w:r>
      <w:r>
        <w:rPr>
          <w:rFonts w:eastAsia="Calibri" w:cs="Calibri" w:ascii="Calibri" w:hAnsi="Calibri"/>
          <w:color w:val="222222"/>
          <w:sz w:val="22"/>
          <w:szCs w:val="22"/>
        </w:rPr>
        <w:t xml:space="preserve"> – Can it grow beyond the pilot?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b/>
          <w:bCs/>
          <w:color w:val="222222"/>
          <w:sz w:val="22"/>
          <w:szCs w:val="22"/>
        </w:rPr>
        <w:t>Team</w:t>
      </w:r>
      <w:r>
        <w:rPr>
          <w:rFonts w:eastAsia="Calibri" w:cs="Calibri" w:ascii="Calibri" w:hAnsi="Calibri"/>
          <w:color w:val="222222"/>
          <w:sz w:val="22"/>
          <w:szCs w:val="22"/>
        </w:rPr>
        <w:t xml:space="preserve"> – Does the team have the skills and commitment?</w:t>
      </w:r>
    </w:p>
    <w:p>
      <w:pPr>
        <w:pStyle w:val="Heading2"/>
        <w:spacing w:before="260" w:after="120"/>
        <w:rPr/>
      </w:pPr>
      <w:r>
        <w:rPr>
          <w:rFonts w:eastAsia="Cambria" w:cs="Cambria" w:ascii="Cambria" w:hAnsi="Cambria"/>
          <w:b/>
          <w:bCs/>
          <w:color w:val="1B2A4A"/>
          <w:sz w:val="24"/>
          <w:szCs w:val="24"/>
        </w:rPr>
        <w:t>7.4 Prizes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Cash prizes for top 3 teams (amount depends on funding).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Incubation support for winning teams.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Internships with partner companies.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Deployment contracts with partner organizations.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Certificates and recognition for all finalists.</w:t>
      </w:r>
    </w:p>
    <w:p>
      <w:pPr>
        <w:pStyle w:val="Heading1"/>
        <w:pBdr>
          <w:bottom w:val="single" w:sz="8" w:space="6" w:color="2E6BB8"/>
        </w:pBdr>
        <w:spacing w:before="380" w:after="160"/>
        <w:rPr/>
      </w:pPr>
      <w:r>
        <w:rPr>
          <w:rFonts w:eastAsia="Cambria" w:cs="Cambria" w:ascii="Cambria" w:hAnsi="Cambria"/>
          <w:b/>
          <w:bCs/>
          <w:color w:val="1B2A4A"/>
          <w:sz w:val="30"/>
          <w:szCs w:val="30"/>
        </w:rPr>
        <w:t>8. Timeline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600"/>
        <w:gridCol w:w="1900"/>
        <w:gridCol w:w="485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9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48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Key Activities</w:t>
            </w:r>
          </w:p>
        </w:tc>
      </w:tr>
      <w:tr>
        <w:trPr/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20"/>
                <w:szCs w:val="20"/>
              </w:rPr>
              <w:t>Phase 1: Foundation</w:t>
            </w:r>
          </w:p>
        </w:tc>
        <w:tc>
          <w:tcPr>
            <w:tcW w:w="19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Oct – Dec 2026</w:t>
            </w:r>
          </w:p>
        </w:tc>
        <w:tc>
          <w:tcPr>
            <w:tcW w:w="48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Concept approval, task force formation, partner mapping, concept note finalization</w:t>
            </w:r>
          </w:p>
        </w:tc>
      </w:tr>
      <w:tr>
        <w:trPr/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20"/>
                <w:szCs w:val="20"/>
              </w:rPr>
              <w:t>Phase 2: Partnership &amp; Planning</w:t>
            </w:r>
          </w:p>
        </w:tc>
        <w:tc>
          <w:tcPr>
            <w:tcW w:w="19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Jan – Mar 2027</w:t>
            </w:r>
          </w:p>
        </w:tc>
        <w:tc>
          <w:tcPr>
            <w:tcW w:w="48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MOUs with anchor partners, funding secured, rulebook finalized, registration launched</w:t>
            </w:r>
          </w:p>
        </w:tc>
      </w:tr>
      <w:tr>
        <w:trPr/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20"/>
                <w:szCs w:val="20"/>
              </w:rPr>
              <w:t>Phase 3: Mobilization</w:t>
            </w:r>
          </w:p>
        </w:tc>
        <w:tc>
          <w:tcPr>
            <w:tcW w:w="19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Apr – Jun 2027</w:t>
            </w:r>
          </w:p>
        </w:tc>
        <w:tc>
          <w:tcPr>
            <w:tcW w:w="48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Campus tours, training workshops, team formation, mentor recruitment, preliminary rounds</w:t>
            </w:r>
          </w:p>
        </w:tc>
      </w:tr>
      <w:tr>
        <w:trPr/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20"/>
                <w:szCs w:val="20"/>
              </w:rPr>
              <w:t>Phase 4: Competition</w:t>
            </w:r>
          </w:p>
        </w:tc>
        <w:tc>
          <w:tcPr>
            <w:tcW w:w="19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Jul – Aug 2027</w:t>
            </w:r>
          </w:p>
        </w:tc>
        <w:tc>
          <w:tcPr>
            <w:tcW w:w="48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Pre-event bootcamp, main event week, demo day, award ceremony</w:t>
            </w:r>
          </w:p>
        </w:tc>
      </w:tr>
      <w:tr>
        <w:trPr/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20"/>
                <w:szCs w:val="20"/>
              </w:rPr>
              <w:t>Phase 5: Legacy</w:t>
            </w:r>
          </w:p>
        </w:tc>
        <w:tc>
          <w:tcPr>
            <w:tcW w:w="19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Sep – Dec 2027</w:t>
            </w:r>
          </w:p>
        </w:tc>
        <w:tc>
          <w:tcPr>
            <w:tcW w:w="48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Deployment of winning solutions, alumni network, impact report, planning for 2028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Normal"/>
        <w:spacing w:lineRule="auto" w:line="276" w:before="0" w:after="160"/>
        <w:rPr/>
      </w:pPr>
      <w:r>
        <w:rPr>
          <w:rFonts w:eastAsia="Calibri" w:cs="Calibri" w:ascii="Calibri" w:hAnsi="Calibri"/>
          <w:b/>
          <w:bCs/>
          <w:color w:val="1B2A4A"/>
          <w:sz w:val="22"/>
          <w:szCs w:val="22"/>
        </w:rPr>
        <w:t xml:space="preserve">Main Event: </w:t>
      </w:r>
      <w:r>
        <w:rPr>
          <w:rFonts w:eastAsia="Calibri" w:cs="Calibri" w:ascii="Calibri" w:hAnsi="Calibri"/>
          <w:color w:val="222222"/>
          <w:sz w:val="22"/>
          <w:szCs w:val="22"/>
        </w:rPr>
        <w:t>August 2027 (exact dates to be confirmed)</w:t>
      </w:r>
    </w:p>
    <w:p>
      <w:pPr>
        <w:pStyle w:val="Heading1"/>
        <w:pBdr>
          <w:bottom w:val="single" w:sz="8" w:space="6" w:color="2E6BB8"/>
        </w:pBdr>
        <w:spacing w:before="380" w:after="160"/>
        <w:rPr/>
      </w:pPr>
      <w:r>
        <w:rPr>
          <w:rFonts w:eastAsia="Cambria" w:cs="Cambria" w:ascii="Cambria" w:hAnsi="Cambria"/>
          <w:b/>
          <w:bCs/>
          <w:color w:val="1B2A4A"/>
          <w:sz w:val="30"/>
          <w:szCs w:val="30"/>
        </w:rPr>
        <w:t>9. Budget Overview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350"/>
        <w:gridCol w:w="2600"/>
        <w:gridCol w:w="3400"/>
      </w:tblGrid>
      <w:tr>
        <w:trPr>
          <w:tblHeader w:val="true"/>
        </w:trPr>
        <w:tc>
          <w:tcPr>
            <w:tcW w:w="33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Estimated Cost (UGX)</w:t>
            </w:r>
          </w:p>
        </w:tc>
        <w:tc>
          <w:tcPr>
            <w:tcW w:w="34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33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Venue</w:t>
            </w:r>
          </w:p>
        </w:tc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5,000,000</w:t>
            </w:r>
          </w:p>
        </w:tc>
        <w:tc>
          <w:tcPr>
            <w:tcW w:w="34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UICT or partner venue</w:t>
            </w:r>
          </w:p>
        </w:tc>
      </w:tr>
      <w:tr>
        <w:trPr/>
        <w:tc>
          <w:tcPr>
            <w:tcW w:w="33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Catering</w:t>
            </w:r>
          </w:p>
        </w:tc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8,000,000</w:t>
            </w:r>
          </w:p>
        </w:tc>
        <w:tc>
          <w:tcPr>
            <w:tcW w:w="34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For finalists, judges, guests</w:t>
            </w:r>
          </w:p>
        </w:tc>
      </w:tr>
      <w:tr>
        <w:trPr/>
        <w:tc>
          <w:tcPr>
            <w:tcW w:w="33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Prizes</w:t>
            </w:r>
          </w:p>
        </w:tc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15,000,000</w:t>
            </w:r>
          </w:p>
        </w:tc>
        <w:tc>
          <w:tcPr>
            <w:tcW w:w="34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Cash prizes for top 3 teams</w:t>
            </w:r>
          </w:p>
        </w:tc>
      </w:tr>
      <w:tr>
        <w:trPr/>
        <w:tc>
          <w:tcPr>
            <w:tcW w:w="33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Transport &amp; Accommodation</w:t>
            </w:r>
          </w:p>
        </w:tc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10,000,000</w:t>
            </w:r>
          </w:p>
        </w:tc>
        <w:tc>
          <w:tcPr>
            <w:tcW w:w="34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For finalists from upcountry universities</w:t>
            </w:r>
          </w:p>
        </w:tc>
      </w:tr>
      <w:tr>
        <w:trPr/>
        <w:tc>
          <w:tcPr>
            <w:tcW w:w="33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Marketing &amp; Communications</w:t>
            </w:r>
          </w:p>
        </w:tc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5,000,000</w:t>
            </w:r>
          </w:p>
        </w:tc>
        <w:tc>
          <w:tcPr>
            <w:tcW w:w="34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Branding, social media, campus tours</w:t>
            </w:r>
          </w:p>
        </w:tc>
      </w:tr>
      <w:tr>
        <w:trPr/>
        <w:tc>
          <w:tcPr>
            <w:tcW w:w="33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Tech Infrastructure</w:t>
            </w:r>
          </w:p>
        </w:tc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4,000,000</w:t>
            </w:r>
          </w:p>
        </w:tc>
        <w:tc>
          <w:tcPr>
            <w:tcW w:w="34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Wi-Fi, power, projectors</w:t>
            </w:r>
          </w:p>
        </w:tc>
      </w:tr>
      <w:tr>
        <w:trPr/>
        <w:tc>
          <w:tcPr>
            <w:tcW w:w="33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Admin &amp; Logistics</w:t>
            </w:r>
          </w:p>
        </w:tc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3,000,000</w:t>
            </w:r>
          </w:p>
        </w:tc>
        <w:tc>
          <w:tcPr>
            <w:tcW w:w="34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Printing, materials, misc.</w:t>
            </w:r>
          </w:p>
        </w:tc>
      </w:tr>
      <w:tr>
        <w:trPr/>
        <w:tc>
          <w:tcPr>
            <w:tcW w:w="33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20"/>
                <w:szCs w:val="20"/>
              </w:rPr>
              <w:t>Total</w:t>
            </w:r>
          </w:p>
        </w:tc>
        <w:tc>
          <w:tcPr>
            <w:tcW w:w="26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20"/>
                <w:szCs w:val="20"/>
              </w:rPr>
              <w:t>50,000,000</w:t>
            </w:r>
          </w:p>
        </w:tc>
        <w:tc>
          <w:tcPr>
            <w:tcW w:w="34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20"/>
                <w:szCs w:val="20"/>
              </w:rPr>
              <w:t>To be covered by partners and sponsors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540"/>
      </w:tblGrid>
      <w:tr>
        <w:trPr/>
        <w:tc>
          <w:tcPr>
            <w:tcW w:w="9540" w:type="dxa"/>
            <w:tcBorders>
              <w:top w:val="single" w:sz="4" w:space="0" w:color="2E6BB8"/>
              <w:start w:val="single" w:sz="4" w:space="0" w:color="2E6BB8"/>
              <w:bottom w:val="single" w:sz="4" w:space="0" w:color="2E6BB8"/>
              <w:end w:val="single" w:sz="4" w:space="0" w:color="2E6BB8"/>
            </w:tcBorders>
            <w:shd w:fill="EAF1FB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E6BB8"/>
                <w:sz w:val="18"/>
                <w:szCs w:val="18"/>
              </w:rPr>
              <w:t>NOTE</w:t>
            </w:r>
          </w:p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Calibri" w:cs="Calibri" w:ascii="Calibri" w:hAnsi="Calibri"/>
                <w:i/>
                <w:iCs/>
                <w:color w:val="222222"/>
                <w:sz w:val="21"/>
                <w:szCs w:val="21"/>
              </w:rPr>
              <w:t>TISA is not expected to fund this from its own budget. The task force will secure funding from government, private sector, and development partners. A minimal viable event can be run with UGX 20–30 million if needed.</w:t>
            </w:r>
          </w:p>
        </w:tc>
      </w:tr>
    </w:tbl>
    <w:p>
      <w:pPr>
        <w:pStyle w:val="Heading1"/>
        <w:pBdr>
          <w:bottom w:val="single" w:sz="8" w:space="6" w:color="2E6BB8"/>
        </w:pBdr>
        <w:spacing w:before="380" w:after="160"/>
        <w:rPr/>
      </w:pPr>
      <w:r>
        <w:rPr>
          <w:rFonts w:eastAsia="Cambria" w:cs="Cambria" w:ascii="Cambria" w:hAnsi="Cambria"/>
          <w:b/>
          <w:bCs/>
          <w:color w:val="1B2A4A"/>
          <w:sz w:val="30"/>
          <w:szCs w:val="30"/>
        </w:rPr>
        <w:t>10. Expected Outcomes</w:t>
      </w:r>
    </w:p>
    <w:p>
      <w:pPr>
        <w:pStyle w:val="ListParagraph"/>
        <w:numPr>
          <w:ilvl w:val="0"/>
          <w:numId w:val="11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National recognition for TISA as a leader in student innovation.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At least 5 partnerships with government and private organizations.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At least 30 teams participating from universities across Uganda.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At least 3 solutions deployed with partner organizations.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Internships and job opportunities for TISA members.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Funding and in-kind support for TISA's long-term sustainability.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A repeatable model for annual or biennial editions.</w:t>
      </w:r>
    </w:p>
    <w:p>
      <w:pPr>
        <w:pStyle w:val="Heading1"/>
        <w:pBdr>
          <w:bottom w:val="single" w:sz="8" w:space="6" w:color="2E6BB8"/>
        </w:pBdr>
        <w:spacing w:before="380" w:after="160"/>
        <w:rPr/>
      </w:pPr>
      <w:r>
        <w:rPr>
          <w:rFonts w:eastAsia="Cambria" w:cs="Cambria" w:ascii="Cambria" w:hAnsi="Cambria"/>
          <w:b/>
          <w:bCs/>
          <w:color w:val="1B2A4A"/>
          <w:sz w:val="30"/>
          <w:szCs w:val="30"/>
        </w:rPr>
        <w:t>11. Risks and Mitigation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200"/>
        <w:gridCol w:w="5150"/>
      </w:tblGrid>
      <w:tr>
        <w:trPr>
          <w:tblHeader w:val="true"/>
        </w:trPr>
        <w:tc>
          <w:tcPr>
            <w:tcW w:w="42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51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>
        <w:trPr/>
        <w:tc>
          <w:tcPr>
            <w:tcW w:w="42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Partners do not commit early</w:t>
            </w:r>
          </w:p>
        </w:tc>
        <w:tc>
          <w:tcPr>
            <w:tcW w:w="51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Start with anchor partners: UICT, ICT-Hub, one government body, one private company</w:t>
            </w:r>
          </w:p>
        </w:tc>
      </w:tr>
      <w:tr>
        <w:trPr/>
        <w:tc>
          <w:tcPr>
            <w:tcW w:w="42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Workload overwhelms the executive</w:t>
            </w:r>
          </w:p>
        </w:tc>
        <w:tc>
          <w:tcPr>
            <w:tcW w:w="51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Dedicated task force with clear roles; monthly reporting</w:t>
            </w:r>
          </w:p>
        </w:tc>
      </w:tr>
      <w:tr>
        <w:trPr/>
        <w:tc>
          <w:tcPr>
            <w:tcW w:w="42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Funding falls short</w:t>
            </w:r>
          </w:p>
        </w:tc>
        <w:tc>
          <w:tcPr>
            <w:tcW w:w="51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Design a minimal viable event first; scale with funding</w:t>
            </w:r>
          </w:p>
        </w:tc>
      </w:tr>
      <w:tr>
        <w:trPr/>
        <w:tc>
          <w:tcPr>
            <w:tcW w:w="42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Low student participation</w:t>
            </w:r>
          </w:p>
        </w:tc>
        <w:tc>
          <w:tcPr>
            <w:tcW w:w="51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EAF1FB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Campus tours, social media campaign, TISA member incentives</w:t>
            </w:r>
          </w:p>
        </w:tc>
      </w:tr>
      <w:tr>
        <w:trPr/>
        <w:tc>
          <w:tcPr>
            <w:tcW w:w="420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Solutions are not deployed</w:t>
            </w:r>
          </w:p>
        </w:tc>
        <w:tc>
          <w:tcPr>
            <w:tcW w:w="5150" w:type="dxa"/>
            <w:tcBorders>
              <w:top w:val="single" w:sz="4" w:space="0" w:color="D5DAE1"/>
              <w:start w:val="single" w:sz="4" w:space="0" w:color="D5DAE1"/>
              <w:bottom w:val="single" w:sz="4" w:space="0" w:color="D5DAE1"/>
              <w:end w:val="single" w:sz="4" w:space="0" w:color="D5DAE1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Secure deployment commitments from partners before the event</w:t>
            </w:r>
          </w:p>
        </w:tc>
      </w:tr>
    </w:tbl>
    <w:p>
      <w:pPr>
        <w:pStyle w:val="Heading1"/>
        <w:pBdr>
          <w:bottom w:val="single" w:sz="8" w:space="6" w:color="2E6BB8"/>
        </w:pBdr>
        <w:spacing w:before="380" w:after="160"/>
        <w:rPr/>
      </w:pPr>
      <w:r>
        <w:rPr>
          <w:rFonts w:eastAsia="Cambria" w:cs="Cambria" w:ascii="Cambria" w:hAnsi="Cambria"/>
          <w:b/>
          <w:bCs/>
          <w:color w:val="1B2A4A"/>
          <w:sz w:val="30"/>
          <w:szCs w:val="30"/>
        </w:rPr>
        <w:t>12. What We Are Asking From the Executive Board</w:t>
      </w:r>
    </w:p>
    <w:p>
      <w:pPr>
        <w:pStyle w:val="ListParagraph"/>
        <w:numPr>
          <w:ilvl w:val="0"/>
          <w:numId w:val="12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Approval in principle to proceed with planning.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A mandate for the task force to approach partners on behalf of TISA.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Formation of the task force as proposed in Section 6.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A small initial budget (if available) for branding and partnership materials. Most costs will be covered by partners.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Monthly reporting from the task force to the Executive Board.</w:t>
      </w:r>
    </w:p>
    <w:p>
      <w:pPr>
        <w:pStyle w:val="Heading1"/>
        <w:pBdr>
          <w:bottom w:val="single" w:sz="8" w:space="6" w:color="2E6BB8"/>
        </w:pBdr>
        <w:spacing w:before="380" w:after="160"/>
        <w:rPr>
          <w:rFonts w:ascii="Cambria" w:hAnsi="Cambria" w:eastAsia="Cambria" w:cs="Cambria"/>
          <w:b/>
          <w:bCs/>
          <w:color w:val="1B2A4A"/>
          <w:sz w:val="30"/>
          <w:szCs w:val="30"/>
        </w:rPr>
      </w:pPr>
      <w:r>
        <w:rPr>
          <w:rFonts w:eastAsia="Cambria" w:cs="Cambria" w:ascii="Cambria" w:hAnsi="Cambria"/>
          <w:b/>
          <w:bCs/>
          <w:color w:val="1B2A4A"/>
          <w:sz w:val="30"/>
          <w:szCs w:val="30"/>
        </w:rPr>
        <w:t>13. Conclusion</w:t>
      </w:r>
    </w:p>
    <w:p>
      <w:pPr>
        <w:pStyle w:val="Heading1"/>
        <w:pBdr>
          <w:bottom w:val="single" w:sz="8" w:space="6" w:color="2E6BB8"/>
        </w:pBdr>
        <w:spacing w:before="380" w:after="160"/>
        <w:rPr>
          <w:rFonts w:ascii="Calibri" w:hAnsi="Calibri" w:eastAsia="Calibri" w:cs="Calibri"/>
          <w:color w:val="222222"/>
          <w:sz w:val="22"/>
          <w:szCs w:val="22"/>
        </w:rPr>
      </w:pPr>
      <w:r>
        <w:rPr>
          <w:rFonts w:eastAsia="Calibri" w:cs="Calibri" w:ascii="Calibri" w:hAnsi="Calibri"/>
          <w:color w:val="222222"/>
          <w:sz w:val="22"/>
          <w:szCs w:val="22"/>
        </w:rPr>
        <w:t>TISA has always been about turning bold ideas into real-world solutions. The TISA Inter-University ICT Challenge 2027 is our chance to do that at a national scale.</w:t>
      </w:r>
    </w:p>
    <w:p>
      <w:pPr>
        <w:pStyle w:val="Heading1"/>
        <w:pBdr>
          <w:bottom w:val="single" w:sz="8" w:space="6" w:color="2E6BB8"/>
        </w:pBdr>
        <w:spacing w:before="380" w:after="160"/>
        <w:rPr/>
      </w:pPr>
      <w:r>
        <w:rPr>
          <w:rFonts w:eastAsia="Calibri" w:cs="Calibri" w:ascii="Calibri" w:hAnsi="Calibri"/>
          <w:b/>
          <w:bCs/>
          <w:color w:val="1B2A4A"/>
          <w:sz w:val="22"/>
          <w:szCs w:val="22"/>
        </w:rPr>
        <w:t xml:space="preserve">This is not just another event. </w:t>
      </w:r>
      <w:r>
        <w:rPr>
          <w:rFonts w:eastAsia="Calibri" w:cs="Calibri" w:ascii="Calibri" w:hAnsi="Calibri"/>
          <w:color w:val="222222"/>
          <w:sz w:val="22"/>
          <w:szCs w:val="22"/>
        </w:rPr>
        <w:t>It is a statement that TISA is ready to lead, to partner, and to deliver. It is a legacy project that will benefit every member, every partner, and every community we touch.</w:t>
      </w:r>
    </w:p>
    <w:p>
      <w:pPr>
        <w:pStyle w:val="Heading1"/>
        <w:pBdr>
          <w:bottom w:val="single" w:sz="8" w:space="6" w:color="2E6BB8"/>
        </w:pBdr>
        <w:spacing w:before="380" w:after="160"/>
        <w:rPr>
          <w:rFonts w:ascii="Calibri" w:hAnsi="Calibri" w:eastAsia="Calibri" w:cs="Calibri"/>
          <w:color w:val="222222"/>
          <w:sz w:val="22"/>
          <w:szCs w:val="22"/>
        </w:rPr>
      </w:pPr>
      <w:r>
        <w:rPr>
          <w:rFonts w:eastAsia="Calibri" w:cs="Calibri" w:ascii="Calibri" w:hAnsi="Calibri"/>
          <w:color w:val="222222"/>
          <w:sz w:val="22"/>
          <w:szCs w:val="22"/>
        </w:rPr>
        <w:t>I request the Executive Board's approval to begin this journey.</w:t>
      </w:r>
    </w:p>
    <w:p>
      <w:pPr>
        <w:pStyle w:val="Heading1"/>
        <w:pBdr>
          <w:bottom w:val="single" w:sz="8" w:space="6" w:color="2E6BB8"/>
        </w:pBdr>
        <w:spacing w:before="380" w:after="160"/>
        <w:rPr>
          <w:rFonts w:ascii="Calibri" w:hAnsi="Calibri" w:eastAsia="Calibri" w:cs="Calibri"/>
          <w:i/>
          <w:iCs/>
          <w:color w:val="5A6472"/>
          <w:sz w:val="21"/>
          <w:szCs w:val="21"/>
        </w:rPr>
      </w:pPr>
      <w:r>
        <w:rPr>
          <w:rFonts w:eastAsia="Calibri" w:cs="Calibri" w:ascii="Calibri" w:hAnsi="Calibri"/>
          <w:i/>
          <w:iCs/>
          <w:color w:val="5A6472"/>
          <w:sz w:val="21"/>
          <w:szCs w:val="21"/>
        </w:rPr>
        <w:t>Prepared and submitted by:</w:t>
      </w:r>
    </w:p>
    <w:p>
      <w:pPr>
        <w:pStyle w:val="Heading1"/>
        <w:pBdr>
          <w:bottom w:val="single" w:sz="8" w:space="6" w:color="2E6BB8"/>
        </w:pBdr>
        <w:spacing w:before="380" w:after="160"/>
        <w:rPr>
          <w:rFonts w:ascii="Calibri" w:hAnsi="Calibri" w:eastAsia="Calibri" w:cs="Calibri"/>
          <w:b/>
          <w:bCs/>
          <w:color w:val="1B2A4A"/>
          <w:sz w:val="23"/>
          <w:szCs w:val="23"/>
        </w:rPr>
      </w:pPr>
      <w:r>
        <w:rPr>
          <w:rFonts w:eastAsia="Calibri" w:cs="Calibri" w:ascii="Calibri" w:hAnsi="Calibri"/>
          <w:b/>
          <w:bCs/>
          <w:color w:val="1B2A4A"/>
          <w:sz w:val="23"/>
          <w:szCs w:val="23"/>
        </w:rPr>
        <w:t>Aine Mbabazi Khuzaifah</w:t>
      </w:r>
    </w:p>
    <w:p>
      <w:pPr>
        <w:pStyle w:val="Heading1"/>
        <w:pBdr>
          <w:bottom w:val="single" w:sz="8" w:space="6" w:color="2E6BB8"/>
        </w:pBdr>
        <w:spacing w:before="380" w:after="160"/>
        <w:rPr>
          <w:rFonts w:ascii="Calibri" w:hAnsi="Calibri" w:eastAsia="Calibri" w:cs="Calibri"/>
          <w:color w:val="222222"/>
          <w:sz w:val="21"/>
          <w:szCs w:val="21"/>
        </w:rPr>
      </w:pPr>
      <w:r>
        <w:rPr>
          <w:rFonts w:eastAsia="Calibri" w:cs="Calibri" w:ascii="Calibri" w:hAnsi="Calibri"/>
          <w:color w:val="222222"/>
          <w:sz w:val="21"/>
          <w:szCs w:val="21"/>
        </w:rPr>
        <w:t>Vice President, TISA — UICT</w:t>
      </w:r>
    </w:p>
    <w:p>
      <w:pPr>
        <w:pStyle w:val="Heading1"/>
        <w:pBdr>
          <w:bottom w:val="single" w:sz="8" w:space="6" w:color="2E6BB8"/>
        </w:pBdr>
        <w:spacing w:before="380" w:after="160"/>
        <w:rPr>
          <w:rFonts w:ascii="Calibri" w:hAnsi="Calibri" w:eastAsia="Calibri" w:cs="Calibri"/>
          <w:color w:val="222222"/>
          <w:sz w:val="21"/>
          <w:szCs w:val="21"/>
        </w:rPr>
      </w:pPr>
      <w:r>
        <w:rPr>
          <w:rFonts w:eastAsia="Calibri" w:cs="Calibri" w:ascii="Calibri" w:hAnsi="Calibri"/>
          <w:color w:val="222222"/>
          <w:sz w:val="21"/>
          <w:szCs w:val="21"/>
        </w:rPr>
        <w:t>[Phone Number] | [Email]</w:t>
      </w:r>
    </w:p>
    <w:p>
      <w:pPr>
        <w:pStyle w:val="Heading1"/>
        <w:pBdr>
          <w:bottom w:val="single" w:sz="8" w:space="6" w:color="2E6BB8"/>
        </w:pBdr>
        <w:spacing w:before="380" w:after="160"/>
        <w:rPr>
          <w:rFonts w:ascii="Calibri" w:hAnsi="Calibri" w:eastAsia="Calibri" w:cs="Calibri"/>
          <w:color w:val="222222"/>
          <w:sz w:val="21"/>
          <w:szCs w:val="21"/>
        </w:rPr>
      </w:pPr>
      <w:r>
        <w:rPr>
          <w:rFonts w:eastAsia="Calibri" w:cs="Calibri" w:ascii="Calibri" w:hAnsi="Calibri"/>
          <w:color w:val="222222"/>
          <w:sz w:val="21"/>
          <w:szCs w:val="21"/>
        </w:rPr>
        <w:t>Date: [Insert Date]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6BB8"/>
        </w:pBdr>
        <w:spacing w:before="0" w:after="160"/>
        <w:rPr/>
      </w:pPr>
      <w:r>
        <w:rPr>
          <w:rFonts w:eastAsia="Cambria" w:cs="Cambria" w:ascii="Cambria" w:hAnsi="Cambria"/>
          <w:b/>
          <w:bCs/>
          <w:color w:val="1B2A4A"/>
          <w:sz w:val="30"/>
          <w:szCs w:val="30"/>
        </w:rPr>
        <w:t>Next Steps After Approval</w:t>
      </w:r>
    </w:p>
    <w:p>
      <w:pPr>
        <w:pStyle w:val="ListParagraph"/>
        <w:numPr>
          <w:ilvl w:val="0"/>
          <w:numId w:val="13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Task force first meeting – within one week of approval.</w:t>
      </w:r>
    </w:p>
    <w:p>
      <w:pPr>
        <w:pStyle w:val="ListParagraph"/>
        <w:numPr>
          <w:ilvl w:val="0"/>
          <w:numId w:val="6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Assign roles and responsibilities – who does what.</w:t>
      </w:r>
    </w:p>
    <w:p>
      <w:pPr>
        <w:pStyle w:val="ListParagraph"/>
        <w:numPr>
          <w:ilvl w:val="0"/>
          <w:numId w:val="6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Create a shared workspace – Google Drive, WhatsApp group, or Notion.</w:t>
      </w:r>
    </w:p>
    <w:p>
      <w:pPr>
        <w:pStyle w:val="ListParagraph"/>
        <w:numPr>
          <w:ilvl w:val="0"/>
          <w:numId w:val="6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Draft the partnership proposal – for outreach to government and private sector.</w:t>
      </w:r>
    </w:p>
    <w:p>
      <w:pPr>
        <w:pStyle w:val="ListParagraph"/>
        <w:numPr>
          <w:ilvl w:val="0"/>
          <w:numId w:val="6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Begin partner outreach – start with UICT, ICT-Hub, and TISA's existing contacts.</w:t>
      </w:r>
    </w:p>
    <w:p>
      <w:pPr>
        <w:pStyle w:val="ListParagraph"/>
        <w:numPr>
          <w:ilvl w:val="0"/>
          <w:numId w:val="6"/>
        </w:numPr>
        <w:spacing w:before="0" w:after="100"/>
        <w:rPr/>
      </w:pPr>
      <w:r>
        <w:rPr>
          <w:rFonts w:eastAsia="Calibri" w:cs="Calibri" w:ascii="Calibri" w:hAnsi="Calibri"/>
          <w:color w:val="222222"/>
          <w:sz w:val="22"/>
          <w:szCs w:val="22"/>
        </w:rPr>
        <w:t>Set a date for the first progress report – one month from approval.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50" w:right="1350" w:gutter="0" w:header="708" w:top="1350" w:footer="708" w:bottom="13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D5DAE1"/>
      </w:pBdr>
      <w:jc w:val="center"/>
      <w:rPr/>
    </w:pPr>
    <w:r>
      <w:rPr>
        <w:rFonts w:eastAsia="Calibri" w:cs="Calibri" w:ascii="Calibri" w:hAnsi="Calibri"/>
        <w:color w:val="5A6472"/>
        <w:sz w:val="17"/>
        <w:szCs w:val="17"/>
      </w:rPr>
      <w:t xml:space="preserve">Page </w:t>
    </w:r>
    <w:r>
      <w:rPr>
        <w:rFonts w:eastAsia="Calibri" w:cs="Calibri" w:ascii="Calibri" w:hAnsi="Calibri"/>
        <w:color w:val="222222"/>
        <w:sz w:val="22"/>
        <w:szCs w:val="22"/>
      </w:rPr>
      <w:fldChar w:fldCharType="begin"/>
    </w:r>
    <w:r>
      <w:rPr>
        <w:rFonts w:eastAsia="Calibri" w:cs="Calibri" w:ascii="Calibri" w:hAnsi="Calibri"/>
        <w:color w:val="222222"/>
        <w:sz w:val="22"/>
        <w:szCs w:val="22"/>
      </w:rPr>
      <w:instrText xml:space="preserve"> PAGE </w:instrText>
    </w:r>
    <w:r>
      <w:rPr>
        <w:rFonts w:eastAsia="Calibri" w:cs="Calibri" w:ascii="Calibri" w:hAnsi="Calibri"/>
        <w:color w:val="222222"/>
        <w:sz w:val="22"/>
        <w:szCs w:val="22"/>
      </w:rPr>
      <w:fldChar w:fldCharType="separate"/>
    </w:r>
    <w:r>
      <w:rPr>
        <w:rFonts w:eastAsia="Calibri" w:cs="Calibri" w:ascii="Calibri" w:hAnsi="Calibri"/>
        <w:color w:val="222222"/>
        <w:sz w:val="22"/>
        <w:szCs w:val="22"/>
      </w:rPr>
      <w:t>10</w:t>
    </w:r>
    <w:r>
      <w:rPr>
        <w:rFonts w:eastAsia="Calibri" w:cs="Calibri" w:ascii="Calibri" w:hAnsi="Calibri"/>
        <w:color w:val="222222"/>
        <w:sz w:val="22"/>
        <w:szCs w:val="22"/>
      </w:rPr>
      <w:fldChar w:fldCharType="end"/>
    </w:r>
    <w:r>
      <w:rPr>
        <w:rFonts w:eastAsia="Calibri" w:cs="Calibri" w:ascii="Calibri" w:hAnsi="Calibri"/>
        <w:color w:val="5A6472"/>
        <w:sz w:val="17"/>
        <w:szCs w:val="17"/>
      </w:rPr>
      <w:t xml:space="preserve"> of </w:t>
    </w:r>
    <w:r>
      <w:rPr>
        <w:rFonts w:eastAsia="Calibri" w:cs="Calibri" w:ascii="Calibri" w:hAnsi="Calibri"/>
        <w:color w:val="222222"/>
        <w:sz w:val="22"/>
        <w:szCs w:val="22"/>
      </w:rPr>
      <w:fldChar w:fldCharType="begin"/>
    </w:r>
    <w:r>
      <w:rPr>
        <w:rFonts w:eastAsia="Calibri" w:cs="Calibri" w:ascii="Calibri" w:hAnsi="Calibri"/>
        <w:color w:val="222222"/>
        <w:sz w:val="22"/>
        <w:szCs w:val="22"/>
      </w:rPr>
      <w:instrText xml:space="preserve"> NUMPAGES </w:instrText>
    </w:r>
    <w:r>
      <w:rPr>
        <w:rFonts w:eastAsia="Calibri" w:cs="Calibri" w:ascii="Calibri" w:hAnsi="Calibri"/>
        <w:color w:val="222222"/>
        <w:sz w:val="22"/>
        <w:szCs w:val="22"/>
      </w:rPr>
      <w:fldChar w:fldCharType="separate"/>
    </w:r>
    <w:r>
      <w:rPr>
        <w:rFonts w:eastAsia="Calibri" w:cs="Calibri" w:ascii="Calibri" w:hAnsi="Calibri"/>
        <w:color w:val="222222"/>
        <w:sz w:val="22"/>
        <w:szCs w:val="22"/>
      </w:rPr>
      <w:t>10</w:t>
    </w:r>
    <w:r>
      <w:rPr>
        <w:rFonts w:eastAsia="Calibri" w:cs="Calibri" w:ascii="Calibri" w:hAnsi="Calibri"/>
        <w:color w:val="222222"/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D5DAE1"/>
      </w:pBdr>
      <w:jc w:val="center"/>
      <w:rPr/>
    </w:pPr>
    <w:r>
      <w:rPr>
        <w:rFonts w:eastAsia="Calibri" w:cs="Calibri" w:ascii="Calibri" w:hAnsi="Calibri"/>
        <w:color w:val="5A6472"/>
        <w:sz w:val="17"/>
        <w:szCs w:val="17"/>
      </w:rPr>
      <w:t xml:space="preserve">Page </w:t>
    </w:r>
    <w:r>
      <w:rPr>
        <w:rFonts w:eastAsia="Calibri" w:cs="Calibri" w:ascii="Calibri" w:hAnsi="Calibri"/>
        <w:color w:val="222222"/>
        <w:sz w:val="22"/>
        <w:szCs w:val="22"/>
      </w:rPr>
      <w:fldChar w:fldCharType="begin"/>
    </w:r>
    <w:r>
      <w:rPr>
        <w:rFonts w:eastAsia="Calibri" w:cs="Calibri" w:ascii="Calibri" w:hAnsi="Calibri"/>
        <w:color w:val="222222"/>
        <w:sz w:val="22"/>
        <w:szCs w:val="22"/>
      </w:rPr>
      <w:instrText xml:space="preserve"> PAGE </w:instrText>
    </w:r>
    <w:r>
      <w:rPr>
        <w:rFonts w:eastAsia="Calibri" w:cs="Calibri" w:ascii="Calibri" w:hAnsi="Calibri"/>
        <w:color w:val="222222"/>
        <w:sz w:val="22"/>
        <w:szCs w:val="22"/>
      </w:rPr>
      <w:fldChar w:fldCharType="separate"/>
    </w:r>
    <w:r>
      <w:rPr>
        <w:rFonts w:eastAsia="Calibri" w:cs="Calibri" w:ascii="Calibri" w:hAnsi="Calibri"/>
        <w:color w:val="222222"/>
        <w:sz w:val="22"/>
        <w:szCs w:val="22"/>
      </w:rPr>
      <w:t>10</w:t>
    </w:r>
    <w:r>
      <w:rPr>
        <w:rFonts w:eastAsia="Calibri" w:cs="Calibri" w:ascii="Calibri" w:hAnsi="Calibri"/>
        <w:color w:val="222222"/>
        <w:sz w:val="22"/>
        <w:szCs w:val="22"/>
      </w:rPr>
      <w:fldChar w:fldCharType="end"/>
    </w:r>
    <w:r>
      <w:rPr>
        <w:rFonts w:eastAsia="Calibri" w:cs="Calibri" w:ascii="Calibri" w:hAnsi="Calibri"/>
        <w:color w:val="5A6472"/>
        <w:sz w:val="17"/>
        <w:szCs w:val="17"/>
      </w:rPr>
      <w:t xml:space="preserve"> of </w:t>
    </w:r>
    <w:r>
      <w:rPr>
        <w:rFonts w:eastAsia="Calibri" w:cs="Calibri" w:ascii="Calibri" w:hAnsi="Calibri"/>
        <w:color w:val="222222"/>
        <w:sz w:val="22"/>
        <w:szCs w:val="22"/>
      </w:rPr>
      <w:fldChar w:fldCharType="begin"/>
    </w:r>
    <w:r>
      <w:rPr>
        <w:rFonts w:eastAsia="Calibri" w:cs="Calibri" w:ascii="Calibri" w:hAnsi="Calibri"/>
        <w:color w:val="222222"/>
        <w:sz w:val="22"/>
        <w:szCs w:val="22"/>
      </w:rPr>
      <w:instrText xml:space="preserve"> NUMPAGES </w:instrText>
    </w:r>
    <w:r>
      <w:rPr>
        <w:rFonts w:eastAsia="Calibri" w:cs="Calibri" w:ascii="Calibri" w:hAnsi="Calibri"/>
        <w:color w:val="222222"/>
        <w:sz w:val="22"/>
        <w:szCs w:val="22"/>
      </w:rPr>
      <w:fldChar w:fldCharType="separate"/>
    </w:r>
    <w:r>
      <w:rPr>
        <w:rFonts w:eastAsia="Calibri" w:cs="Calibri" w:ascii="Calibri" w:hAnsi="Calibri"/>
        <w:color w:val="222222"/>
        <w:sz w:val="22"/>
        <w:szCs w:val="22"/>
      </w:rPr>
      <w:t>10</w:t>
    </w:r>
    <w:r>
      <w:rPr>
        <w:rFonts w:eastAsia="Calibri" w:cs="Calibri" w:ascii="Calibri" w:hAnsi="Calibri"/>
        <w:color w:val="222222"/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5DAE1"/>
      </w:pBdr>
      <w:tabs>
        <w:tab w:val="clear" w:pos="720"/>
        <w:tab w:val="right" w:pos="9350" w:leader="none"/>
      </w:tabs>
      <w:rPr/>
    </w:pPr>
    <w:r>
      <w:rPr>
        <w:rFonts w:eastAsia="Calibri" w:cs="Calibri" w:ascii="Calibri" w:hAnsi="Calibri"/>
        <w:color w:val="5A6472"/>
        <w:sz w:val="17"/>
        <w:szCs w:val="17"/>
      </w:rPr>
      <w:t>TISA Inter-University ICT Challenge 2027</w:t>
      <w:tab/>
      <w:t>Concept Note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5DAE1"/>
      </w:pBdr>
      <w:tabs>
        <w:tab w:val="clear" w:pos="720"/>
        <w:tab w:val="right" w:pos="9350" w:leader="none"/>
      </w:tabs>
      <w:rPr/>
    </w:pPr>
    <w:r>
      <w:rPr>
        <w:rFonts w:eastAsia="Calibri" w:cs="Calibri" w:ascii="Calibri" w:hAnsi="Calibri"/>
        <w:color w:val="5A6472"/>
        <w:sz w:val="17"/>
        <w:szCs w:val="17"/>
      </w:rPr>
      <w:t>TISA Inter-University ICT Challenge 2027</w:t>
      <w:tab/>
      <w:t>Concept Note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60" w:hanging="260"/>
      </w:pPr>
      <w:rPr>
        <w:rFonts w:ascii="Symbol" w:hAnsi="Symbol" w:cs="Symbol" w:hint="default"/>
      </w:rPr>
    </w:lvl>
    <w:lvl w:ilvl="1">
      <w:start w:val="1"/>
      <w:numFmt w:val="bullet"/>
      <w:lvlText w:val="▪"/>
      <w:lvlJc w:val="start"/>
      <w:pPr>
        <w:tabs>
          <w:tab w:val="num" w:pos="0"/>
        </w:tabs>
        <w:ind w:start="820" w:hanging="2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6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6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46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46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46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311</TotalTime>
  <Application>LibreOffice/26.2.5.2$Linux_X86_64 LibreOffice_project/620$Build-2</Application>
  <AppVersion>15.0000</AppVersion>
  <Pages>10</Pages>
  <Words>1477</Words>
  <Characters>8528</Characters>
  <CharactersWithSpaces>9731</CharactersWithSpaces>
  <Paragraphs>245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2026-09-27T08:34:11Z</dcterms:created>
  <dc:creator>Aine Mbabazi Khuzaifah</dc:creator>
  <dc:description/>
  <dc:language>en-US</dc:language>
  <cp:lastModifiedBy/>
  <dcterms:modified xsi:type="dcterms:W3CDTF">2026-09-27T17:28:21Z</dcterms:modified>
  <cp:revision>2</cp:revision>
  <dc:subject/>
  <dc:title>TISA Inter-University ICT Challenge 2027 — Concept Note</dc:title>
</cp:coreProperties>
</file>