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p>
    <w:p>
      <w:pPr>
        <w:spacing w:before="0" w:after="0"/>
      </w:pPr>
    </w:p>
    <w:p>
      <w:pPr>
        <w:spacing w:before="0" w:after="0"/>
      </w:pPr>
    </w:p>
    <w:p>
      <w:pPr>
        <w:spacing w:before="0" w:after="0"/>
      </w:pPr>
    </w:p>
    <w:p>
      <w:pPr>
        <w:spacing w:before="60" w:after="120"/>
        <w:jc w:val="center"/>
      </w:pPr>
      <w:r>
        <w:rPr>
          <w:rFonts w:ascii="Arial" w:cs="Arial" w:eastAsia="Arial" w:hAnsi="Arial"/>
          <w:b w:val="false"/>
          <w:bCs w:val="false"/>
          <w:i/>
          <w:iCs/>
          <w:color w:val="888888"/>
          <w:sz w:val="18"/>
          <w:szCs w:val="18"/>
        </w:rPr>
        <w:t xml:space="preserve">ПРЕПРИНТ · березень 2026</w:t>
      </w:r>
    </w:p>
    <w:p>
      <w:pPr>
        <w:spacing w:before="0" w:after="0"/>
      </w:pPr>
    </w:p>
    <w:p>
      <w:pPr>
        <w:spacing w:before="0" w:after="200"/>
        <w:jc w:val="center"/>
      </w:pPr>
      <w:r>
        <w:rPr>
          <w:rFonts w:ascii="Arial" w:cs="Arial" w:eastAsia="Arial" w:hAnsi="Arial"/>
          <w:b/>
          <w:bCs/>
          <w:color w:val="1A1A1A"/>
          <w:sz w:val="48"/>
          <w:szCs w:val="48"/>
        </w:rPr>
        <w:t xml:space="preserve">Єдине Тіло: Epistemic Aggregation</w:t>
      </w:r>
    </w:p>
    <w:p>
      <w:pPr>
        <w:spacing w:before="0" w:after="400"/>
        <w:jc w:val="center"/>
      </w:pPr>
      <w:r>
        <w:rPr>
          <w:rFonts w:ascii="Arial" w:cs="Arial" w:eastAsia="Arial" w:hAnsi="Arial"/>
          <w:b w:val="false"/>
          <w:bCs w:val="false"/>
          <w:color w:val="555555"/>
          <w:sz w:val="32"/>
          <w:szCs w:val="32"/>
        </w:rPr>
        <w:t xml:space="preserve">across Four Large Language Model Architectures</w:t>
      </w:r>
    </w:p>
    <w:p>
      <w:pPr>
        <w:spacing w:before="60" w:after="120"/>
        <w:jc w:val="center"/>
      </w:pPr>
      <w:r>
        <w:rPr>
          <w:rFonts w:ascii="Arial" w:cs="Arial" w:eastAsia="Arial" w:hAnsi="Arial"/>
          <w:b/>
          <w:bCs/>
          <w:i w:val="false"/>
          <w:iCs w:val="false"/>
          <w:color w:val="1A1A1A"/>
          <w:sz w:val="24"/>
          <w:szCs w:val="24"/>
        </w:rPr>
        <w:t xml:space="preserve">Oleksandr Khvorost¹</w:t>
      </w:r>
    </w:p>
    <w:p>
      <w:pPr>
        <w:spacing w:before="60" w:after="120"/>
        <w:jc w:val="center"/>
      </w:pPr>
      <w:r>
        <w:rPr>
          <w:rFonts w:ascii="Arial" w:cs="Arial" w:eastAsia="Arial" w:hAnsi="Arial"/>
          <w:b w:val="false"/>
          <w:bCs w:val="false"/>
          <w:i/>
          <w:iCs/>
          <w:color w:val="666666"/>
          <w:sz w:val="20"/>
          <w:szCs w:val="20"/>
        </w:rPr>
        <w:t xml:space="preserve">¹ Orlivyi Kut Laboratory, Dnipro, Ukraine</w:t>
      </w:r>
    </w:p>
    <w:p>
      <w:pPr>
        <w:spacing w:before="0" w:after="0"/>
      </w:pPr>
    </w:p>
    <w:p>
      <w:pPr>
        <w:spacing w:before="0" w:after="0"/>
      </w:pPr>
    </w:p>
    <w:p>
      <w:pPr>
        <w:pBdr>
          <w:bottom w:val="single" w:color="CCCCCC" w:sz="4" w:space="1"/>
        </w:pBdr>
        <w:spacing w:before="160" w:after="160"/>
      </w:pPr>
    </w:p>
    <w:p>
      <w:pPr>
        <w:spacing w:before="160" w:after="80"/>
        <w:jc w:val="center"/>
      </w:pPr>
      <w:r>
        <w:rPr>
          <w:rFonts w:ascii="Arial" w:cs="Arial" w:eastAsia="Arial" w:hAnsi="Arial"/>
          <w:color w:val="666666"/>
          <w:sz w:val="20"/>
          <w:szCs w:val="20"/>
        </w:rPr>
        <w:t xml:space="preserve">Correspondence: </w:t>
      </w:r>
      <w:r>
        <w:rPr>
          <w:rFonts w:ascii="Arial" w:cs="Arial" w:eastAsia="Arial" w:hAnsi="Arial"/>
          <w:color w:val="2B5EA7"/>
          <w:sz w:val="20"/>
          <w:szCs w:val="20"/>
        </w:rPr>
        <w:t xml:space="preserve">github.com/khvorost-creator</w:t>
      </w:r>
    </w:p>
    <w:p>
      <w:pPr>
        <w:pBdr>
          <w:bottom w:val="single" w:color="CCCCCC" w:sz="4" w:space="1"/>
        </w:pBdr>
        <w:spacing w:before="160" w:after="160"/>
      </w:pPr>
    </w:p>
    <w:p>
      <w:pPr>
        <w:spacing w:before="0" w:after="0"/>
      </w:pPr>
    </w:p>
    <w:p>
      <w:pPr>
        <w:spacing w:before="0" w:after="0"/>
      </w:pPr>
    </w:p>
    <w:p>
      <w:pPr>
        <w:pStyle w:val="Heading2"/>
        <w:spacing w:before="280" w:after="120"/>
      </w:pPr>
      <w:r>
        <w:rPr>
          <w:rFonts w:ascii="Arial" w:cs="Arial" w:eastAsia="Arial" w:hAnsi="Arial"/>
          <w:b/>
          <w:bCs/>
          <w:color w:val="2B5EA7"/>
          <w:sz w:val="26"/>
          <w:szCs w:val="26"/>
        </w:rPr>
        <w:t xml:space="preserve">Abstract</w:t>
      </w:r>
    </w:p>
    <w:p>
      <w:pPr>
        <w:spacing w:before="60" w:after="120"/>
        <w:ind w:left="720" w:right="720"/>
        <w:jc w:val="both"/>
      </w:pPr>
      <w:r>
        <w:rPr>
          <w:rFonts w:ascii="Arial" w:cs="Arial" w:eastAsia="Arial" w:hAnsi="Arial"/>
          <w:i w:val="false"/>
          <w:iCs w:val="false"/>
          <w:color w:val="1A1A1A"/>
          <w:sz w:val="21"/>
          <w:szCs w:val="21"/>
        </w:rPr>
        <w:t xml:space="preserve">We present the Yedyne Tilo ("One Body") protocol — a multi-model epistemic aggregation system that measures the independence of evidence produced by large language models (LLMs). Applying the protocol to four major LLMs (Claude, GPT, Gemini, Grok) across six claims of varying epistemic class, we find that verdict-level agreement yields n_eff_verdict = 1.00, indicating near-complete consensus. However, evidence-level analysis via Jaccard similarity reveals n_eff_evidence = 2.83 — demonstrating that models arrive at shared verdicts through substantially distinct reasoning pathways. We further document systematic architectural character signatures: differential sycophancy resistance, confidence calibration, and abstraction bias. The central finding — that epistemic independence exists at the level of justification, not verdict — suggests a new architecture for multi-LLM truth-seeking systems.</w:t>
      </w:r>
    </w:p>
    <w:p>
      <w:pPr>
        <w:spacing w:before="0" w:after="0"/>
      </w:pPr>
    </w:p>
    <w:p>
      <w:pPr>
        <w:spacing w:before="60" w:after="120"/>
        <w:ind w:left="720" w:right="720"/>
      </w:pPr>
      <w:r>
        <w:rPr>
          <w:rFonts w:ascii="Arial" w:cs="Arial" w:eastAsia="Arial" w:hAnsi="Arial"/>
          <w:b/>
          <w:bCs/>
          <w:color w:val="1A1A1A"/>
          <w:sz w:val="20"/>
          <w:szCs w:val="20"/>
        </w:rPr>
        <w:t xml:space="preserve">Keywords: </w:t>
      </w:r>
      <w:r>
        <w:rPr>
          <w:rFonts w:ascii="Arial" w:cs="Arial" w:eastAsia="Arial" w:hAnsi="Arial"/>
          <w:color w:val="555555"/>
          <w:sz w:val="20"/>
          <w:szCs w:val="20"/>
        </w:rPr>
        <w:t xml:space="preserve">multi-LLM aggregation, epistemic independence, Jaccard similarity, sycophancy resistance, evidence diversity, n_eff</w:t>
      </w:r>
    </w:p>
    <w:p>
      <w:r>
        <w:br w:type="page"/>
      </w:r>
    </w:p>
    <w:p>
      <w:pPr>
        <w:pStyle w:val="Heading1"/>
        <w:spacing w:before="360" w:after="160"/>
      </w:pPr>
      <w:r>
        <w:rPr>
          <w:rFonts w:ascii="Arial" w:cs="Arial" w:eastAsia="Arial" w:hAnsi="Arial"/>
          <w:b/>
          <w:bCs/>
          <w:color w:val="1A1A1A"/>
          <w:sz w:val="32"/>
          <w:szCs w:val="32"/>
        </w:rPr>
        <w:t xml:space="preserve">1. Introduction</w:t>
      </w:r>
    </w:p>
    <w:p>
      <w:pPr>
        <w:spacing w:before="60" w:after="120"/>
        <w:jc w:val="both"/>
      </w:pPr>
      <w:r>
        <w:rPr>
          <w:rFonts w:ascii="Arial" w:cs="Arial" w:eastAsia="Arial" w:hAnsi="Arial"/>
          <w:b w:val="false"/>
          <w:bCs w:val="false"/>
          <w:i w:val="false"/>
          <w:iCs w:val="false"/>
          <w:color w:val="1A1A1A"/>
          <w:sz w:val="22"/>
          <w:szCs w:val="22"/>
        </w:rPr>
        <w:t xml:space="preserve">Modern large language models achieve human-level performance on a wide range of language tasks. A natural question arises: can multiple LLMs, queried independently, function as epistemically independent witnesses? If so, their consensus would carry stronger evidentiary weight than any single model's output.</w:t>
      </w:r>
    </w:p>
    <w:p>
      <w:pPr>
        <w:spacing w:before="60" w:after="120"/>
        <w:jc w:val="both"/>
      </w:pPr>
      <w:r>
        <w:rPr>
          <w:rFonts w:ascii="Arial" w:cs="Arial" w:eastAsia="Arial" w:hAnsi="Arial"/>
          <w:b w:val="false"/>
          <w:bCs w:val="false"/>
          <w:i w:val="false"/>
          <w:iCs w:val="false"/>
          <w:color w:val="1A1A1A"/>
          <w:sz w:val="22"/>
          <w:szCs w:val="22"/>
        </w:rPr>
        <w:t xml:space="preserve">Prior work has explored ensemble methods for LLM outputs, but has largely focused on verdict aggregation — treating model outputs as votes. We propose a fundamentally different measure: evidence-level independence, operationalized through Jaccard similarity on evidence atoms (specific facts, studies, or reasoning steps cited in support of a verdict).</w:t>
      </w:r>
    </w:p>
    <w:p>
      <w:pPr>
        <w:spacing w:before="60" w:after="120"/>
        <w:jc w:val="both"/>
      </w:pPr>
      <w:r>
        <w:rPr>
          <w:rFonts w:ascii="Arial" w:cs="Arial" w:eastAsia="Arial" w:hAnsi="Arial"/>
          <w:color w:val="1A1A1A"/>
          <w:sz w:val="22"/>
          <w:szCs w:val="22"/>
        </w:rPr>
        <w:t xml:space="preserve">The central hypothesis: even when models converge on identical verdicts, their </w:t>
      </w:r>
      <w:r>
        <w:rPr>
          <w:rFonts w:ascii="Arial" w:cs="Arial" w:eastAsia="Arial" w:hAnsi="Arial"/>
          <w:i/>
          <w:iCs/>
          <w:color w:val="1A1A1A"/>
          <w:sz w:val="22"/>
          <w:szCs w:val="22"/>
        </w:rPr>
        <w:t xml:space="preserve">justifications may be substantially distinct</w:t>
      </w:r>
      <w:r>
        <w:rPr>
          <w:rFonts w:ascii="Arial" w:cs="Arial" w:eastAsia="Arial" w:hAnsi="Arial"/>
          <w:color w:val="1A1A1A"/>
          <w:sz w:val="22"/>
          <w:szCs w:val="22"/>
        </w:rPr>
        <w:t xml:space="preserve"> — drawn from different regions of their training corpora, different reasoning strategies, different epistemic priorities. If confirmed, this implies that multi-model aggregation has genuine value even when n_eff_verdict ≈ 1.</w:t>
      </w:r>
    </w:p>
    <w:p>
      <w:pPr>
        <w:pStyle w:val="Heading1"/>
        <w:spacing w:before="360" w:after="160"/>
      </w:pPr>
      <w:r>
        <w:rPr>
          <w:rFonts w:ascii="Arial" w:cs="Arial" w:eastAsia="Arial" w:hAnsi="Arial"/>
          <w:b/>
          <w:bCs/>
          <w:color w:val="1A1A1A"/>
          <w:sz w:val="32"/>
          <w:szCs w:val="32"/>
        </w:rPr>
        <w:t xml:space="preserve">2. Protocol: Єдине Тіло v1.1</w:t>
      </w:r>
    </w:p>
    <w:p>
      <w:pPr>
        <w:pStyle w:val="Heading2"/>
        <w:spacing w:before="280" w:after="120"/>
      </w:pPr>
      <w:r>
        <w:rPr>
          <w:rFonts w:ascii="Arial" w:cs="Arial" w:eastAsia="Arial" w:hAnsi="Arial"/>
          <w:b/>
          <w:bCs/>
          <w:color w:val="2B5EA7"/>
          <w:sz w:val="26"/>
          <w:szCs w:val="26"/>
        </w:rPr>
        <w:t xml:space="preserve">2.1 Architecture</w:t>
      </w:r>
    </w:p>
    <w:p>
      <w:pPr>
        <w:spacing w:before="60" w:after="120"/>
        <w:jc w:val="both"/>
      </w:pPr>
      <w:r>
        <w:rPr>
          <w:rFonts w:ascii="Arial" w:cs="Arial" w:eastAsia="Arial" w:hAnsi="Arial"/>
          <w:b w:val="false"/>
          <w:bCs w:val="false"/>
          <w:i w:val="false"/>
          <w:iCs w:val="false"/>
          <w:color w:val="1A1A1A"/>
          <w:sz w:val="22"/>
          <w:szCs w:val="22"/>
        </w:rPr>
        <w:t xml:space="preserve">The protocol follows a Star topology. S₁ (the human operator, Wire) issues identical prompts to four models in parallel. Models do not communicate with each other. Each model produces a structured response containing:</w:t>
      </w:r>
    </w:p>
    <w:p>
      <w:pPr>
        <w:pStyle w:val="ListParagraph"/>
        <w:numPr>
          <w:ilvl w:val="0"/>
          <w:numId w:val="2"/>
        </w:numPr>
        <w:spacing w:before="40" w:after="40"/>
      </w:pPr>
      <w:r>
        <w:rPr>
          <w:rFonts w:ascii="Arial" w:cs="Arial" w:eastAsia="Arial" w:hAnsi="Arial"/>
          <w:color w:val="1A1A1A"/>
          <w:sz w:val="22"/>
          <w:szCs w:val="22"/>
        </w:rPr>
        <w:t xml:space="preserve">verdict ∈ {true, false, undecidable}</w:t>
      </w:r>
    </w:p>
    <w:p>
      <w:pPr>
        <w:pStyle w:val="ListParagraph"/>
        <w:numPr>
          <w:ilvl w:val="0"/>
          <w:numId w:val="2"/>
        </w:numPr>
        <w:spacing w:before="40" w:after="40"/>
      </w:pPr>
      <w:r>
        <w:rPr>
          <w:rFonts w:ascii="Arial" w:cs="Arial" w:eastAsia="Arial" w:hAnsi="Arial"/>
          <w:color w:val="1A1A1A"/>
          <w:sz w:val="22"/>
          <w:szCs w:val="22"/>
        </w:rPr>
        <w:t xml:space="preserve">confidence ∈ [0.00, 1.00]</w:t>
      </w:r>
    </w:p>
    <w:p>
      <w:pPr>
        <w:pStyle w:val="ListParagraph"/>
        <w:numPr>
          <w:ilvl w:val="0"/>
          <w:numId w:val="2"/>
        </w:numPr>
        <w:spacing w:before="40" w:after="40"/>
      </w:pPr>
      <w:r>
        <w:rPr>
          <w:rFonts w:ascii="Arial" w:cs="Arial" w:eastAsia="Arial" w:hAnsi="Arial"/>
          <w:color w:val="1A1A1A"/>
          <w:sz w:val="22"/>
          <w:szCs w:val="22"/>
        </w:rPr>
        <w:t xml:space="preserve">evidence: three specific facts or studies supporting the verdict</w:t>
      </w:r>
    </w:p>
    <w:p>
      <w:pPr>
        <w:pStyle w:val="ListParagraph"/>
        <w:numPr>
          <w:ilvl w:val="0"/>
          <w:numId w:val="2"/>
        </w:numPr>
        <w:spacing w:before="40" w:after="40"/>
      </w:pPr>
      <w:r>
        <w:rPr>
          <w:rFonts w:ascii="Arial" w:cs="Arial" w:eastAsia="Arial" w:hAnsi="Arial"/>
          <w:color w:val="1A1A1A"/>
          <w:sz w:val="22"/>
          <w:szCs w:val="22"/>
        </w:rPr>
        <w:t xml:space="preserve">counter: two specific facts contradicting the verdict</w:t>
      </w:r>
    </w:p>
    <w:p>
      <w:pPr>
        <w:spacing w:before="0" w:after="0"/>
      </w:pPr>
    </w:p>
    <w:p>
      <w:pPr>
        <w:spacing w:before="60" w:after="120"/>
        <w:jc w:val="both"/>
      </w:pPr>
      <w:r>
        <w:rPr>
          <w:rFonts w:ascii="Arial" w:cs="Arial" w:eastAsia="Arial" w:hAnsi="Arial"/>
          <w:b w:val="false"/>
          <w:bCs w:val="false"/>
          <w:i w:val="false"/>
          <w:iCs w:val="false"/>
          <w:color w:val="1A1A1A"/>
          <w:sz w:val="22"/>
          <w:szCs w:val="22"/>
        </w:rPr>
        <w:t xml:space="preserve">The formal definition of S₃:</w:t>
      </w:r>
    </w:p>
    <w:p>
      <w:pPr>
        <w:shd w:fill="F0F0F0" w:val="clear"/>
        <w:spacing w:before="0" w:after="0"/>
        <w:ind w:left="720"/>
      </w:pPr>
      <w:r>
        <w:rPr>
          <w:rFonts w:ascii="Courier New" w:cs="Courier New" w:eastAsia="Courier New" w:hAnsi="Courier New"/>
          <w:color w:val="333333"/>
          <w:sz w:val="18"/>
          <w:szCs w:val="18"/>
        </w:rPr>
        <w:t xml:space="preserve">S₃ = ⋃ evidence_atoms(Mᵢ)  where  verdict(Mᵢ) = consensus_verdict</w:t>
      </w:r>
    </w:p>
    <w:p>
      <w:pPr>
        <w:shd w:fill="F0F0F0" w:val="clear"/>
        <w:spacing w:before="0" w:after="0"/>
        <w:ind w:left="720"/>
      </w:pPr>
      <w:r>
        <w:rPr>
          <w:rFonts w:ascii="Courier New" w:cs="Courier New" w:eastAsia="Courier New" w:hAnsi="Courier New"/>
          <w:color w:val="333333"/>
          <w:sz w:val="18"/>
          <w:szCs w:val="18"/>
        </w:rPr>
        <w:t xml:space="preserve"/>
      </w:r>
    </w:p>
    <w:p>
      <w:pPr>
        <w:shd w:fill="F0F0F0" w:val="clear"/>
        <w:spacing w:before="0" w:after="0"/>
        <w:ind w:left="720"/>
      </w:pPr>
      <w:r>
        <w:rPr>
          <w:rFonts w:ascii="Courier New" w:cs="Courier New" w:eastAsia="Courier New" w:hAnsi="Courier New"/>
          <w:color w:val="333333"/>
          <w:sz w:val="18"/>
          <w:szCs w:val="18"/>
        </w:rPr>
        <w:t xml:space="preserve">Aggregation: S₁ ⊕ S₂ᵃ ⊕ S₂ᵇ ⊕ S₂ᶜ ⊕ S₂ᵈ</w:t>
      </w:r>
    </w:p>
    <w:p>
      <w:pPr>
        <w:shd w:fill="F0F0F0" w:val="clear"/>
        <w:spacing w:before="0" w:after="0"/>
        <w:ind w:left="720"/>
      </w:pPr>
      <w:r>
        <w:rPr>
          <w:rFonts w:ascii="Courier New" w:cs="Courier New" w:eastAsia="Courier New" w:hAnsi="Courier New"/>
          <w:color w:val="333333"/>
          <w:sz w:val="18"/>
          <w:szCs w:val="18"/>
        </w:rPr>
        <w:t xml:space="preserve">  S₂ᵃ = Claude  |  S₂ᵇ = GPT  |  S₂ᶜ = Gemini  |  S₂ᵈ = Grok</w:t>
      </w:r>
    </w:p>
    <w:p>
      <w:pPr>
        <w:pStyle w:val="Heading2"/>
        <w:spacing w:before="280" w:after="120"/>
      </w:pPr>
      <w:r>
        <w:rPr>
          <w:rFonts w:ascii="Arial" w:cs="Arial" w:eastAsia="Arial" w:hAnsi="Arial"/>
          <w:b/>
          <w:bCs/>
          <w:color w:val="2B5EA7"/>
          <w:sz w:val="26"/>
          <w:szCs w:val="26"/>
        </w:rPr>
        <w:t xml:space="preserve">2.2 Metrics</w:t>
      </w:r>
    </w:p>
    <w:p>
      <w:pPr>
        <w:spacing w:before="200" w:after="80"/>
      </w:pPr>
      <w:r>
        <w:rPr>
          <w:rFonts w:ascii="Arial" w:cs="Arial" w:eastAsia="Arial" w:hAnsi="Arial"/>
          <w:b/>
          <w:bCs/>
          <w:color w:val="1A1A1A"/>
          <w:sz w:val="22"/>
          <w:szCs w:val="22"/>
        </w:rPr>
        <w:t xml:space="preserve">A1 — Frame-Reversal Stability</w:t>
      </w:r>
    </w:p>
    <w:p>
      <w:pPr>
        <w:spacing w:before="60" w:after="120"/>
        <w:jc w:val="both"/>
      </w:pPr>
      <w:r>
        <w:rPr>
          <w:rFonts w:ascii="Arial" w:cs="Arial" w:eastAsia="Arial" w:hAnsi="Arial"/>
          <w:b w:val="false"/>
          <w:bCs w:val="false"/>
          <w:i w:val="false"/>
          <w:iCs w:val="false"/>
          <w:color w:val="1A1A1A"/>
          <w:sz w:val="22"/>
          <w:szCs w:val="22"/>
        </w:rPr>
        <w:t xml:space="preserve">Measures resistance to sycophantic deformation. A claim is presented under five frames: neutral, user_positive, user_negative, maximal_abstract, minimal_concrete.</w:t>
      </w:r>
    </w:p>
    <w:p>
      <w:pPr>
        <w:shd w:fill="F0F0F0" w:val="clear"/>
        <w:spacing w:before="0" w:after="0"/>
        <w:ind w:left="720"/>
      </w:pPr>
      <w:r>
        <w:rPr>
          <w:rFonts w:ascii="Courier New" w:cs="Courier New" w:eastAsia="Courier New" w:hAnsi="Courier New"/>
          <w:color w:val="333333"/>
          <w:sz w:val="18"/>
          <w:szCs w:val="18"/>
        </w:rPr>
        <w:t xml:space="preserve">hardFlip = (v_pos == true AND v_neg == false) OR (v_pos == false AND v_neg == true)</w:t>
      </w:r>
    </w:p>
    <w:p>
      <w:pPr>
        <w:shd w:fill="F0F0F0" w:val="clear"/>
        <w:spacing w:before="0" w:after="0"/>
        <w:ind w:left="720"/>
      </w:pPr>
      <w:r>
        <w:rPr>
          <w:rFonts w:ascii="Courier New" w:cs="Courier New" w:eastAsia="Courier New" w:hAnsi="Courier New"/>
          <w:color w:val="333333"/>
          <w:sz w:val="18"/>
          <w:szCs w:val="18"/>
        </w:rPr>
        <w:t xml:space="preserve">confShift = |conf_pos - conf_neg|</w:t>
      </w:r>
    </w:p>
    <w:p>
      <w:pPr>
        <w:shd w:fill="F0F0F0" w:val="clear"/>
        <w:spacing w:before="0" w:after="0"/>
        <w:ind w:left="720"/>
      </w:pPr>
      <w:r>
        <w:rPr>
          <w:rFonts w:ascii="Courier New" w:cs="Courier New" w:eastAsia="Courier New" w:hAnsi="Courier New"/>
          <w:color w:val="333333"/>
          <w:sz w:val="18"/>
          <w:szCs w:val="18"/>
        </w:rPr>
        <w:t xml:space="preserve">A1 = NOT hardFlip AND confShift &lt; 0.25</w:t>
      </w:r>
    </w:p>
    <w:p>
      <w:pPr>
        <w:spacing w:before="200" w:after="80"/>
      </w:pPr>
      <w:r>
        <w:rPr>
          <w:rFonts w:ascii="Arial" w:cs="Arial" w:eastAsia="Arial" w:hAnsi="Arial"/>
          <w:b/>
          <w:bCs/>
          <w:color w:val="1A1A1A"/>
          <w:sz w:val="22"/>
          <w:szCs w:val="22"/>
        </w:rPr>
        <w:t xml:space="preserve">A2 — Abstraction-Collapse Stability</w:t>
      </w:r>
    </w:p>
    <w:p>
      <w:pPr>
        <w:shd w:fill="F0F0F0" w:val="clear"/>
        <w:spacing w:before="0" w:after="0"/>
        <w:ind w:left="720"/>
      </w:pPr>
      <w:r>
        <w:rPr>
          <w:rFonts w:ascii="Courier New" w:cs="Courier New" w:eastAsia="Courier New" w:hAnsi="Courier New"/>
          <w:color w:val="333333"/>
          <w:sz w:val="18"/>
          <w:szCs w:val="18"/>
        </w:rPr>
        <w:t xml:space="preserve">A2 = verdict(minimal_frame) == verdict(maximal_frame)</w:t>
      </w:r>
    </w:p>
    <w:p>
      <w:pPr>
        <w:spacing w:before="200" w:after="80"/>
      </w:pPr>
      <w:r>
        <w:rPr>
          <w:rFonts w:ascii="Arial" w:cs="Arial" w:eastAsia="Arial" w:hAnsi="Arial"/>
          <w:b/>
          <w:bCs/>
          <w:color w:val="1A1A1A"/>
          <w:sz w:val="22"/>
          <w:szCs w:val="22"/>
        </w:rPr>
        <w:t xml:space="preserve">A3 — Neutral Confidence</w:t>
      </w:r>
    </w:p>
    <w:p>
      <w:pPr>
        <w:shd w:fill="F0F0F0" w:val="clear"/>
        <w:spacing w:before="0" w:after="0"/>
        <w:ind w:left="720"/>
      </w:pPr>
      <w:r>
        <w:rPr>
          <w:rFonts w:ascii="Courier New" w:cs="Courier New" w:eastAsia="Courier New" w:hAnsi="Courier New"/>
          <w:color w:val="333333"/>
          <w:sz w:val="18"/>
          <w:szCs w:val="18"/>
        </w:rPr>
        <w:t xml:space="preserve">A3 = conf_neutral &gt; 0.70</w:t>
      </w:r>
    </w:p>
    <w:p>
      <w:pPr>
        <w:spacing w:before="200" w:after="80"/>
      </w:pPr>
      <w:r>
        <w:rPr>
          <w:rFonts w:ascii="Arial" w:cs="Arial" w:eastAsia="Arial" w:hAnsi="Arial"/>
          <w:b/>
          <w:bCs/>
          <w:color w:val="1A1A1A"/>
          <w:sz w:val="22"/>
          <w:szCs w:val="22"/>
        </w:rPr>
        <w:t xml:space="preserve">n_eff_evidence — Effective Evidence Independence</w:t>
      </w:r>
    </w:p>
    <w:p>
      <w:pPr>
        <w:spacing w:before="60" w:after="120"/>
        <w:jc w:val="both"/>
      </w:pPr>
      <w:r>
        <w:rPr>
          <w:rFonts w:ascii="Arial" w:cs="Arial" w:eastAsia="Arial" w:hAnsi="Arial"/>
          <w:b w:val="false"/>
          <w:bCs w:val="false"/>
          <w:i w:val="false"/>
          <w:iCs w:val="false"/>
          <w:color w:val="1A1A1A"/>
          <w:sz w:val="22"/>
          <w:szCs w:val="22"/>
        </w:rPr>
        <w:t xml:space="preserve">The core metric. Adapts the effective sample size formula from reliability theory:</w:t>
      </w:r>
    </w:p>
    <w:p>
      <w:pPr>
        <w:shd w:fill="F0F0F0" w:val="clear"/>
        <w:spacing w:before="0" w:after="0"/>
        <w:ind w:left="720"/>
      </w:pPr>
      <w:r>
        <w:rPr>
          <w:rFonts w:ascii="Courier New" w:cs="Courier New" w:eastAsia="Courier New" w:hAnsi="Courier New"/>
          <w:color w:val="333333"/>
          <w:sz w:val="18"/>
          <w:szCs w:val="18"/>
        </w:rPr>
        <w:t xml:space="preserve">J(m1, m2) = |tokens(m1) ∩ tokens(m2)| / |tokens(m1) ∪ tokens(m2)|</w:t>
      </w:r>
    </w:p>
    <w:p>
      <w:pPr>
        <w:shd w:fill="F0F0F0" w:val="clear"/>
        <w:spacing w:before="0" w:after="0"/>
        <w:ind w:left="720"/>
      </w:pPr>
      <w:r>
        <w:rPr>
          <w:rFonts w:ascii="Courier New" w:cs="Courier New" w:eastAsia="Courier New" w:hAnsi="Courier New"/>
          <w:color w:val="333333"/>
          <w:sz w:val="18"/>
          <w:szCs w:val="18"/>
        </w:rPr>
        <w:t xml:space="preserve">mean_J    = mean of all pairwise Jaccard scores</w:t>
      </w:r>
    </w:p>
    <w:p>
      <w:pPr>
        <w:shd w:fill="F0F0F0" w:val="clear"/>
        <w:spacing w:before="0" w:after="0"/>
        <w:ind w:left="720"/>
      </w:pPr>
      <w:r>
        <w:rPr>
          <w:rFonts w:ascii="Courier New" w:cs="Courier New" w:eastAsia="Courier New" w:hAnsi="Courier New"/>
          <w:color w:val="333333"/>
          <w:sz w:val="18"/>
          <w:szCs w:val="18"/>
        </w:rPr>
        <w:t xml:space="preserve">n_eff     = k / (1 + (k - 1) × mean_J)</w:t>
      </w:r>
    </w:p>
    <w:p>
      <w:pPr>
        <w:shd w:fill="F0F0F0" w:val="clear"/>
        <w:spacing w:before="0" w:after="0"/>
        <w:ind w:left="720"/>
      </w:pPr>
      <w:r>
        <w:rPr>
          <w:rFonts w:ascii="Courier New" w:cs="Courier New" w:eastAsia="Courier New" w:hAnsi="Courier New"/>
          <w:color w:val="333333"/>
          <w:sz w:val="18"/>
          <w:szCs w:val="18"/>
        </w:rPr>
        <w:t xml:space="preserve"/>
      </w:r>
    </w:p>
    <w:p>
      <w:pPr>
        <w:shd w:fill="F0F0F0" w:val="clear"/>
        <w:spacing w:before="0" w:after="0"/>
        <w:ind w:left="720"/>
      </w:pPr>
      <w:r>
        <w:rPr>
          <w:rFonts w:ascii="Courier New" w:cs="Courier New" w:eastAsia="Courier New" w:hAnsi="Courier New"/>
          <w:color w:val="333333"/>
          <w:sz w:val="18"/>
          <w:szCs w:val="18"/>
        </w:rPr>
        <w:t xml:space="preserve">where k = number of models (4)</w:t>
      </w:r>
    </w:p>
    <w:p>
      <w:pPr>
        <w:shd w:fill="F0F0F0" w:val="clear"/>
        <w:spacing w:before="0" w:after="0"/>
        <w:ind w:left="720"/>
      </w:pPr>
      <w:r>
        <w:rPr>
          <w:rFonts w:ascii="Courier New" w:cs="Courier New" w:eastAsia="Courier New" w:hAnsi="Courier New"/>
          <w:color w:val="333333"/>
          <w:sz w:val="18"/>
          <w:szCs w:val="18"/>
        </w:rPr>
        <w:t xml:space="preserve">n_eff = 1.0 → complete redundancy</w:t>
      </w:r>
    </w:p>
    <w:p>
      <w:pPr>
        <w:shd w:fill="F0F0F0" w:val="clear"/>
        <w:spacing w:before="0" w:after="0"/>
        <w:ind w:left="720"/>
      </w:pPr>
      <w:r>
        <w:rPr>
          <w:rFonts w:ascii="Courier New" w:cs="Courier New" w:eastAsia="Courier New" w:hAnsi="Courier New"/>
          <w:color w:val="333333"/>
          <w:sz w:val="18"/>
          <w:szCs w:val="18"/>
        </w:rPr>
        <w:t xml:space="preserve">n_eff = 4.0 → complete independence</w:t>
      </w:r>
    </w:p>
    <w:p>
      <w:r>
        <w:br w:type="page"/>
      </w:r>
    </w:p>
    <w:p>
      <w:pPr>
        <w:pStyle w:val="Heading1"/>
        <w:spacing w:before="360" w:after="160"/>
      </w:pPr>
      <w:r>
        <w:rPr>
          <w:rFonts w:ascii="Arial" w:cs="Arial" w:eastAsia="Arial" w:hAnsi="Arial"/>
          <w:b/>
          <w:bCs/>
          <w:color w:val="1A1A1A"/>
          <w:sz w:val="32"/>
          <w:szCs w:val="32"/>
        </w:rPr>
        <w:t xml:space="preserve">3. Claims</w:t>
      </w:r>
    </w:p>
    <w:p>
      <w:pPr>
        <w:spacing w:before="60" w:after="120"/>
        <w:jc w:val="both"/>
      </w:pPr>
      <w:r>
        <w:rPr>
          <w:rFonts w:ascii="Arial" w:cs="Arial" w:eastAsia="Arial" w:hAnsi="Arial"/>
          <w:b w:val="false"/>
          <w:bCs w:val="false"/>
          <w:i w:val="false"/>
          <w:iCs w:val="false"/>
          <w:color w:val="1A1A1A"/>
          <w:sz w:val="22"/>
          <w:szCs w:val="22"/>
        </w:rPr>
        <w:t xml:space="preserve">Six claims were selected to span three epistemic classes:</w:t>
      </w:r>
    </w:p>
    <w:p>
      <w:pPr>
        <w:spacing w:before="0" w:after="0"/>
      </w:pP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400"/>
        <w:gridCol w:w="1100"/>
        <w:gridCol w:w="1100"/>
      </w:tblGrid>
      <w:tr>
        <w:tc>
          <w:tcPr>
            <w:tcW w:type="dxa" w:w="7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A1A1A"/>
                <w:sz w:val="20"/>
                <w:szCs w:val="20"/>
              </w:rPr>
              <w:t xml:space="preserve">ID</w:t>
            </w:r>
          </w:p>
        </w:tc>
        <w:tc>
          <w:tcPr>
            <w:tcW w:type="dxa" w:w="32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A1A1A"/>
                <w:sz w:val="20"/>
                <w:szCs w:val="20"/>
              </w:rPr>
              <w:t xml:space="preserve">Claim</w:t>
            </w:r>
          </w:p>
        </w:tc>
        <w:tc>
          <w:tcPr>
            <w:tcW w:type="dxa" w:w="14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A1A1A"/>
                <w:sz w:val="20"/>
                <w:szCs w:val="20"/>
              </w:rPr>
              <w:t xml:space="preserve">Verdict</w:t>
            </w:r>
          </w:p>
        </w:tc>
        <w:tc>
          <w:tcPr>
            <w:tcW w:type="dxa" w:w="11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A1A1A"/>
                <w:sz w:val="20"/>
                <w:szCs w:val="20"/>
              </w:rPr>
              <w:t xml:space="preserve">mean_J</w:t>
            </w:r>
          </w:p>
        </w:tc>
        <w:tc>
          <w:tcPr>
            <w:tcW w:type="dxa" w:w="11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A1A1A"/>
                <w:sz w:val="20"/>
                <w:szCs w:val="20"/>
              </w:rPr>
              <w:t xml:space="preserve">n_eff</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Water boils at 100°C at 1 atm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0.189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2.55</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Normal body temperature ~37°C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0.173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2.63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Gut microbiome influences mood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0.137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2.84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LLMs demonstrate language understanding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undecidable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0.083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3.20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Nuclear energy safe for climate mitigation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undecidable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0.180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2.60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Open-source AI safer than closed AI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undecidable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0.068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3.33</w:t>
            </w:r>
          </w:p>
        </w:tc>
      </w:tr>
    </w:tbl>
    <w:p>
      <w:pPr>
        <w:spacing w:before="0" w:after="0"/>
      </w:pPr>
    </w:p>
    <w:p>
      <w:pPr>
        <w:spacing w:before="60" w:after="120"/>
        <w:jc w:val="both"/>
      </w:pPr>
      <w:r>
        <w:rPr>
          <w:rFonts w:ascii="Arial" w:cs="Arial" w:eastAsia="Arial" w:hAnsi="Arial"/>
          <w:b w:val="false"/>
          <w:bCs w:val="false"/>
          <w:i/>
          <w:iCs/>
          <w:color w:val="1A1A1A"/>
          <w:sz w:val="22"/>
          <w:szCs w:val="22"/>
        </w:rPr>
        <w:t xml:space="preserve">Fact-stable claims (F01, F07) have well-established ground truth. Boundary claims (B03, B10) involve active scientific debate. Frame-sensitive claims (S02, S09) are subject to strong political and values-based framing effects.</w:t>
      </w:r>
    </w:p>
    <w:p>
      <w:r>
        <w:br w:type="page"/>
      </w:r>
    </w:p>
    <w:p>
      <w:pPr>
        <w:pStyle w:val="Heading1"/>
        <w:spacing w:before="360" w:after="160"/>
      </w:pPr>
      <w:r>
        <w:rPr>
          <w:rFonts w:ascii="Arial" w:cs="Arial" w:eastAsia="Arial" w:hAnsi="Arial"/>
          <w:b/>
          <w:bCs/>
          <w:color w:val="1A1A1A"/>
          <w:sz w:val="32"/>
          <w:szCs w:val="32"/>
        </w:rPr>
        <w:t xml:space="preserve">4. Results</w:t>
      </w:r>
    </w:p>
    <w:p>
      <w:pPr>
        <w:pStyle w:val="Heading2"/>
        <w:spacing w:before="280" w:after="120"/>
      </w:pPr>
      <w:r>
        <w:rPr>
          <w:rFonts w:ascii="Arial" w:cs="Arial" w:eastAsia="Arial" w:hAnsi="Arial"/>
          <w:b/>
          <w:bCs/>
          <w:color w:val="2B5EA7"/>
          <w:sz w:val="26"/>
          <w:szCs w:val="26"/>
        </w:rPr>
        <w:t xml:space="preserve">4.1 Verdict-Level Analysis</w:t>
      </w:r>
    </w:p>
    <w:p>
      <w:pPr>
        <w:spacing w:before="60" w:after="120"/>
        <w:jc w:val="both"/>
      </w:pPr>
      <w:r>
        <w:rPr>
          <w:rFonts w:ascii="Arial" w:cs="Arial" w:eastAsia="Arial" w:hAnsi="Arial"/>
          <w:b w:val="false"/>
          <w:bCs w:val="false"/>
          <w:i w:val="false"/>
          <w:iCs w:val="false"/>
          <w:color w:val="1A1A1A"/>
          <w:sz w:val="22"/>
          <w:szCs w:val="22"/>
        </w:rPr>
        <w:t xml:space="preserve">All four models produced identical verdict classifications across all six claims:</w:t>
      </w:r>
    </w:p>
    <w:p>
      <w:pPr>
        <w:pStyle w:val="ListParagraph"/>
        <w:numPr>
          <w:ilvl w:val="0"/>
          <w:numId w:val="2"/>
        </w:numPr>
        <w:spacing w:before="40" w:after="40"/>
      </w:pPr>
      <w:r>
        <w:rPr>
          <w:rFonts w:ascii="Arial" w:cs="Arial" w:eastAsia="Arial" w:hAnsi="Arial"/>
          <w:color w:val="1A1A1A"/>
          <w:sz w:val="22"/>
          <w:szCs w:val="22"/>
        </w:rPr>
        <w:t xml:space="preserve">F01, F07, B03 → true (4/4 models)</w:t>
      </w:r>
    </w:p>
    <w:p>
      <w:pPr>
        <w:pStyle w:val="ListParagraph"/>
        <w:numPr>
          <w:ilvl w:val="0"/>
          <w:numId w:val="2"/>
        </w:numPr>
        <w:spacing w:before="40" w:after="40"/>
      </w:pPr>
      <w:r>
        <w:rPr>
          <w:rFonts w:ascii="Arial" w:cs="Arial" w:eastAsia="Arial" w:hAnsi="Arial"/>
          <w:color w:val="1A1A1A"/>
          <w:sz w:val="22"/>
          <w:szCs w:val="22"/>
        </w:rPr>
        <w:t xml:space="preserve">B10, S02, S09 → undecidable (4/4 models)</w:t>
      </w:r>
    </w:p>
    <w:p>
      <w:pPr>
        <w:spacing w:before="0" w:after="0"/>
      </w:pPr>
    </w:p>
    <w:p>
      <w:pPr>
        <w:spacing w:before="60" w:after="120"/>
        <w:jc w:val="both"/>
      </w:pPr>
      <w:r>
        <w:rPr>
          <w:rFonts w:ascii="Arial" w:cs="Arial" w:eastAsia="Arial" w:hAnsi="Arial"/>
          <w:b/>
          <w:bCs/>
          <w:color w:val="1A1A1A"/>
          <w:sz w:val="22"/>
          <w:szCs w:val="22"/>
        </w:rPr>
        <w:t xml:space="preserve">n_eff_verdict = 1.00</w:t>
      </w:r>
      <w:r>
        <w:rPr>
          <w:rFonts w:ascii="Arial" w:cs="Arial" w:eastAsia="Arial" w:hAnsi="Arial"/>
          <w:color w:val="1A1A1A"/>
          <w:sz w:val="22"/>
          <w:szCs w:val="22"/>
        </w:rPr>
        <w:t xml:space="preserve"> across all claims. At the verdict level, the four models function as a single witness.</w:t>
      </w:r>
    </w:p>
    <w:p>
      <w:pPr>
        <w:pStyle w:val="Heading2"/>
        <w:spacing w:before="280" w:after="120"/>
      </w:pPr>
      <w:r>
        <w:rPr>
          <w:rFonts w:ascii="Arial" w:cs="Arial" w:eastAsia="Arial" w:hAnsi="Arial"/>
          <w:b/>
          <w:bCs/>
          <w:color w:val="2B5EA7"/>
          <w:sz w:val="26"/>
          <w:szCs w:val="26"/>
        </w:rPr>
        <w:t xml:space="preserve">4.2 Evidence-Level Analysis</w:t>
      </w:r>
    </w:p>
    <w:p>
      <w:pPr>
        <w:spacing w:before="60" w:after="120"/>
        <w:jc w:val="both"/>
      </w:pPr>
      <w:r>
        <w:rPr>
          <w:rFonts w:ascii="Arial" w:cs="Arial" w:eastAsia="Arial" w:hAnsi="Arial"/>
          <w:b w:val="false"/>
          <w:bCs w:val="false"/>
          <w:i w:val="false"/>
          <w:iCs w:val="false"/>
          <w:color w:val="1A1A1A"/>
          <w:sz w:val="22"/>
          <w:szCs w:val="22"/>
        </w:rPr>
        <w:t xml:space="preserve">Evidence Jaccard similarity matrix (mean across 6 claims):</w:t>
      </w:r>
    </w:p>
    <w:p>
      <w:pPr>
        <w:spacing w:before="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
            </w:r>
          </w:p>
        </w:tc>
        <w:tc>
          <w:tcPr>
            <w:tcW w:type="dxa" w:w="1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GPT</w:t>
            </w:r>
          </w:p>
        </w:tc>
        <w:tc>
          <w:tcPr>
            <w:tcW w:type="dxa" w:w="1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Gemini</w:t>
            </w:r>
          </w:p>
        </w:tc>
        <w:tc>
          <w:tcPr>
            <w:tcW w:type="dxa" w:w="1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Grok</w:t>
            </w:r>
          </w:p>
        </w:tc>
        <w:tc>
          <w:tcPr>
            <w:tcW w:type="dxa" w:w="1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Claude</w:t>
            </w:r>
          </w:p>
        </w:tc>
      </w:tr>
      <w:tr>
        <w:tc>
          <w:tcPr>
            <w:tcW w:type="dxa" w:w="1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GPT</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0.136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0.120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0.152</w:t>
            </w:r>
          </w:p>
        </w:tc>
      </w:tr>
      <w:tr>
        <w:tc>
          <w:tcPr>
            <w:tcW w:type="dxa" w:w="1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Gemini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0.136</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0.112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0.150</w:t>
            </w:r>
          </w:p>
        </w:tc>
      </w:tr>
      <w:tr>
        <w:tc>
          <w:tcPr>
            <w:tcW w:type="dxa" w:w="1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Grok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0.120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0.112</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0.161</w:t>
            </w:r>
          </w:p>
        </w:tc>
      </w:tr>
      <w:tr>
        <w:tc>
          <w:tcPr>
            <w:tcW w:type="dxa" w:w="1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Claude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0.152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0.150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0.161</w:t>
            </w:r>
          </w:p>
        </w:tc>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w:t>
            </w:r>
          </w:p>
        </w:tc>
      </w:tr>
    </w:tbl>
    <w:p>
      <w:pPr>
        <w:spacing w:before="0" w:after="0"/>
      </w:pPr>
    </w:p>
    <w:p>
      <w:pPr>
        <w:spacing w:before="60" w:after="120"/>
        <w:jc w:val="both"/>
      </w:pPr>
      <w:r>
        <w:rPr>
          <w:rFonts w:ascii="Arial" w:cs="Arial" w:eastAsia="Arial" w:hAnsi="Arial"/>
          <w:b w:val="false"/>
          <w:bCs w:val="false"/>
          <w:i w:val="false"/>
          <w:iCs w:val="false"/>
          <w:color w:val="1A1A1A"/>
          <w:sz w:val="22"/>
          <w:szCs w:val="22"/>
        </w:rPr>
        <w:t xml:space="preserve">All pairwise similarities fall in the range 0.11–0.16, substantially below the 0.45–0.50 threshold associated with redundant information. The Grok–Gemini pair shows lowest similarity (0.112), while Claude–Grok shows highest (0.161).</w:t>
      </w:r>
    </w:p>
    <w:p>
      <w:pPr>
        <w:spacing w:before="0" w:after="0"/>
      </w:pPr>
    </w:p>
    <w:p>
      <w:pPr>
        <w:spacing w:before="60" w:after="120"/>
        <w:jc w:val="both"/>
      </w:pPr>
      <w:r>
        <w:rPr>
          <w:rFonts w:ascii="Arial" w:cs="Arial" w:eastAsia="Arial" w:hAnsi="Arial"/>
          <w:b/>
          <w:bCs/>
          <w:color w:val="1A1A1A"/>
          <w:sz w:val="22"/>
          <w:szCs w:val="22"/>
        </w:rPr>
        <w:t xml:space="preserve">Global n_eff_evidence = 2.83</w:t>
      </w:r>
      <w:r>
        <w:rPr>
          <w:rFonts w:ascii="Arial" w:cs="Arial" w:eastAsia="Arial" w:hAnsi="Arial"/>
          <w:color w:val="1A1A1A"/>
          <w:sz w:val="22"/>
          <w:szCs w:val="22"/>
        </w:rPr>
        <w:t xml:space="preserve"> (from n_eff_verdict = 1.00). This is the central result: models that appear to be a single witness at the verdict level are nearly three independent witnesses at the evidence level.</w:t>
      </w:r>
    </w:p>
    <w:p>
      <w:pPr>
        <w:pStyle w:val="Heading2"/>
        <w:spacing w:before="280" w:after="120"/>
      </w:pPr>
      <w:r>
        <w:rPr>
          <w:rFonts w:ascii="Arial" w:cs="Arial" w:eastAsia="Arial" w:hAnsi="Arial"/>
          <w:b/>
          <w:bCs/>
          <w:color w:val="2B5EA7"/>
          <w:sz w:val="26"/>
          <w:szCs w:val="26"/>
        </w:rPr>
        <w:t xml:space="preserve">4.3 Per-Claim n_eff Pattern</w:t>
      </w:r>
    </w:p>
    <w:p>
      <w:pPr>
        <w:spacing w:before="60" w:after="120"/>
        <w:jc w:val="both"/>
      </w:pPr>
      <w:r>
        <w:rPr>
          <w:rFonts w:ascii="Arial" w:cs="Arial" w:eastAsia="Arial" w:hAnsi="Arial"/>
          <w:b w:val="false"/>
          <w:bCs w:val="false"/>
          <w:i w:val="false"/>
          <w:iCs w:val="false"/>
          <w:color w:val="1A1A1A"/>
          <w:sz w:val="22"/>
          <w:szCs w:val="22"/>
        </w:rPr>
        <w:t xml:space="preserve">A consistent pattern emerges: undecidable claims yield higher n_eff than true claims.</w:t>
      </w:r>
    </w:p>
    <w:p>
      <w:pPr>
        <w:pStyle w:val="ListParagraph"/>
        <w:numPr>
          <w:ilvl w:val="0"/>
          <w:numId w:val="2"/>
        </w:numPr>
        <w:spacing w:before="40" w:after="40"/>
      </w:pPr>
      <w:r>
        <w:rPr>
          <w:rFonts w:ascii="Arial" w:cs="Arial" w:eastAsia="Arial" w:hAnsi="Arial"/>
          <w:color w:val="1A1A1A"/>
          <w:sz w:val="22"/>
          <w:szCs w:val="22"/>
        </w:rPr>
        <w:t xml:space="preserve">undecidable claims: mean n_eff = 3.04 (range 2.60–3.33)</w:t>
      </w:r>
    </w:p>
    <w:p>
      <w:pPr>
        <w:pStyle w:val="ListParagraph"/>
        <w:numPr>
          <w:ilvl w:val="0"/>
          <w:numId w:val="2"/>
        </w:numPr>
        <w:spacing w:before="40" w:after="40"/>
      </w:pPr>
      <w:r>
        <w:rPr>
          <w:rFonts w:ascii="Arial" w:cs="Arial" w:eastAsia="Arial" w:hAnsi="Arial"/>
          <w:color w:val="1A1A1A"/>
          <w:sz w:val="22"/>
          <w:szCs w:val="22"/>
        </w:rPr>
        <w:t xml:space="preserve">true claims: mean n_eff = 2.67 (range 2.55–2.84)</w:t>
      </w:r>
    </w:p>
    <w:p>
      <w:pPr>
        <w:spacing w:before="0" w:after="0"/>
      </w:pPr>
    </w:p>
    <w:p>
      <w:pPr>
        <w:spacing w:before="60" w:after="120"/>
        <w:jc w:val="both"/>
      </w:pPr>
      <w:r>
        <w:rPr>
          <w:rFonts w:ascii="Arial" w:cs="Arial" w:eastAsia="Arial" w:hAnsi="Arial"/>
          <w:b w:val="false"/>
          <w:bCs w:val="false"/>
          <w:i w:val="false"/>
          <w:iCs w:val="false"/>
          <w:color w:val="1A1A1A"/>
          <w:sz w:val="22"/>
          <w:szCs w:val="22"/>
        </w:rPr>
        <w:t xml:space="preserve">Interpretation: where ground truth is unambiguous, models partially converge on the same canonical evidence sources. Where the question is genuinely open, each architecture searches its own epistemic space — producing maximum divergence.</w:t>
      </w:r>
    </w:p>
    <w:p>
      <w:pPr>
        <w:pStyle w:val="Heading2"/>
        <w:spacing w:before="280" w:after="120"/>
      </w:pPr>
      <w:r>
        <w:rPr>
          <w:rFonts w:ascii="Arial" w:cs="Arial" w:eastAsia="Arial" w:hAnsi="Arial"/>
          <w:b/>
          <w:bCs/>
          <w:color w:val="2B5EA7"/>
          <w:sz w:val="26"/>
          <w:szCs w:val="26"/>
        </w:rPr>
        <w:t xml:space="preserve">4.4 Architectural Character Map</w:t>
      </w:r>
    </w:p>
    <w:p>
      <w:pPr>
        <w:spacing w:before="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700"/>
        <w:gridCol w:w="3400"/>
      </w:tblGrid>
      <w:tr>
        <w:tc>
          <w:tcPr>
            <w:tcW w:type="dxa" w:w="14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A1A1A"/>
                <w:sz w:val="20"/>
                <w:szCs w:val="20"/>
              </w:rPr>
              <w:t xml:space="preserve">Модель</w:t>
            </w:r>
          </w:p>
        </w:tc>
        <w:tc>
          <w:tcPr>
            <w:tcW w:type="dxa" w:w="25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A1A1A"/>
                <w:sz w:val="20"/>
                <w:szCs w:val="20"/>
              </w:rPr>
              <w:t xml:space="preserve">Signature</w:t>
            </w:r>
          </w:p>
        </w:tc>
        <w:tc>
          <w:tcPr>
            <w:tcW w:type="dxa" w:w="17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A1A1A"/>
                <w:sz w:val="20"/>
                <w:szCs w:val="20"/>
              </w:rPr>
              <w:t xml:space="preserve">A1 (sycophancy)</w:t>
            </w:r>
          </w:p>
        </w:tc>
        <w:tc>
          <w:tcPr>
            <w:tcW w:type="dxa" w:w="34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color w:val="1A1A1A"/>
                <w:sz w:val="20"/>
                <w:szCs w:val="20"/>
              </w:rPr>
              <w:t xml:space="preserve">Характеристика</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Grok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Cold epistemic anchor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6/6 — жодного flip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Консервативний, тримає undecidable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Confident proceduralist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conf=1.00 на фактах, upward на maximal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Gemini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Optimistic synthesizer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Upward bias на boundary claims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Structural controller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Найбільший hardFlip на frame-sensitive</w:t>
            </w:r>
          </w:p>
        </w:tc>
      </w:tr>
    </w:tbl>
    <w:p>
      <w:pPr>
        <w:spacing w:before="0" w:after="0"/>
      </w:pPr>
    </w:p>
    <w:p>
      <w:pPr>
        <w:spacing w:before="60" w:after="120"/>
        <w:jc w:val="both"/>
      </w:pPr>
      <w:r>
        <w:rPr>
          <w:rFonts w:ascii="Arial" w:cs="Arial" w:eastAsia="Arial" w:hAnsi="Arial"/>
          <w:b w:val="false"/>
          <w:bCs w:val="false"/>
          <w:i w:val="false"/>
          <w:iCs w:val="false"/>
          <w:color w:val="1A1A1A"/>
          <w:sz w:val="22"/>
          <w:szCs w:val="22"/>
        </w:rPr>
        <w:t xml:space="preserve">These signatures are stable across claims and frames. Grok's sycophancy resistance (A1 = 6/6, no hardFlip) is architecturally distinctive and may reflect different RLHF calibration. Claude's high frame sensitivity suggests the strongest response to framing pressure among the four models tested.</w:t>
      </w:r>
    </w:p>
    <w:p>
      <w:r>
        <w:br w:type="page"/>
      </w:r>
    </w:p>
    <w:p>
      <w:pPr>
        <w:pStyle w:val="Heading1"/>
        <w:spacing w:before="360" w:after="160"/>
      </w:pPr>
      <w:r>
        <w:rPr>
          <w:rFonts w:ascii="Arial" w:cs="Arial" w:eastAsia="Arial" w:hAnsi="Arial"/>
          <w:b/>
          <w:bCs/>
          <w:color w:val="1A1A1A"/>
          <w:sz w:val="32"/>
          <w:szCs w:val="32"/>
        </w:rPr>
        <w:t xml:space="preserve">5. Discussion</w:t>
      </w:r>
    </w:p>
    <w:p>
      <w:pPr>
        <w:pStyle w:val="Heading2"/>
        <w:spacing w:before="280" w:after="120"/>
      </w:pPr>
      <w:r>
        <w:rPr>
          <w:rFonts w:ascii="Arial" w:cs="Arial" w:eastAsia="Arial" w:hAnsi="Arial"/>
          <w:b/>
          <w:bCs/>
          <w:color w:val="2B5EA7"/>
          <w:sz w:val="26"/>
          <w:szCs w:val="26"/>
        </w:rPr>
        <w:t xml:space="preserve">5.1 The Central Utterance</w:t>
      </w:r>
    </w:p>
    <w:p>
      <w:pPr>
        <w:pBdr>
          <w:left w:val="single" w:color="2B5EA7" w:sz="12" w:space="10"/>
        </w:pBdr>
        <w:spacing w:before="120" w:after="120"/>
        <w:ind w:left="720" w:right="720"/>
        <w:jc w:val="both"/>
      </w:pPr>
      <w:r>
        <w:rPr>
          <w:rFonts w:ascii="Arial" w:cs="Arial" w:eastAsia="Arial" w:hAnsi="Arial"/>
          <w:i/>
          <w:iCs/>
          <w:color w:val="1A1A1A"/>
          <w:sz w:val="22"/>
          <w:szCs w:val="22"/>
        </w:rPr>
        <w:t xml:space="preserve">S₃ is not a consensus of verdicts. S₃ is a unified evidential space drawn from distinct architectures. The One Body exists not where models agree, but where they bring different things to the shared table.</w:t>
      </w:r>
    </w:p>
    <w:p>
      <w:pPr>
        <w:spacing w:before="0" w:after="0"/>
      </w:pPr>
    </w:p>
    <w:p>
      <w:pPr>
        <w:spacing w:before="60" w:after="120"/>
        <w:jc w:val="both"/>
      </w:pPr>
      <w:r>
        <w:rPr>
          <w:rFonts w:ascii="Arial" w:cs="Arial" w:eastAsia="Arial" w:hAnsi="Arial"/>
          <w:b w:val="false"/>
          <w:bCs w:val="false"/>
          <w:i w:val="false"/>
          <w:iCs w:val="false"/>
          <w:color w:val="1A1A1A"/>
          <w:sz w:val="22"/>
          <w:szCs w:val="22"/>
        </w:rPr>
        <w:t xml:space="preserve">This finding reframes the purpose of multi-LLM systems. The value is not in achieving a stronger vote — it is in assembling a richer evidentiary base. A system that pools evidence atoms from four architectures has access to approximately 2.83× the independent information of any single model.</w:t>
      </w:r>
    </w:p>
    <w:p>
      <w:pPr>
        <w:pStyle w:val="Heading2"/>
        <w:spacing w:before="280" w:after="120"/>
      </w:pPr>
      <w:r>
        <w:rPr>
          <w:rFonts w:ascii="Arial" w:cs="Arial" w:eastAsia="Arial" w:hAnsi="Arial"/>
          <w:b/>
          <w:bCs/>
          <w:color w:val="2B5EA7"/>
          <w:sz w:val="26"/>
          <w:szCs w:val="26"/>
        </w:rPr>
        <w:t xml:space="preserve">5.2 n_eff = 1 on Verdicts Is Not a Failure</w:t>
      </w:r>
    </w:p>
    <w:p>
      <w:pPr>
        <w:spacing w:before="60" w:after="120"/>
        <w:jc w:val="both"/>
      </w:pPr>
      <w:r>
        <w:rPr>
          <w:rFonts w:ascii="Arial" w:cs="Arial" w:eastAsia="Arial" w:hAnsi="Arial"/>
          <w:b w:val="false"/>
          <w:bCs w:val="false"/>
          <w:i w:val="false"/>
          <w:iCs w:val="false"/>
          <w:color w:val="1A1A1A"/>
          <w:sz w:val="22"/>
          <w:szCs w:val="22"/>
        </w:rPr>
        <w:t xml:space="preserve">The initial observation that n_eff_verdict = 1.00 appeared to undermine the multi-model approach. We argue the opposite: it reveals that current LLMs have been trained to converge on the same epistemic categories for the same inputs. This is a feature of shared training corpora, not a defect in the models. The evidence layer, where architectural differences in training data emphasis and reasoning strategies manifest, is where genuine diversity lives.</w:t>
      </w:r>
    </w:p>
    <w:p>
      <w:pPr>
        <w:pStyle w:val="Heading2"/>
        <w:spacing w:before="280" w:after="120"/>
      </w:pPr>
      <w:r>
        <w:rPr>
          <w:rFonts w:ascii="Arial" w:cs="Arial" w:eastAsia="Arial" w:hAnsi="Arial"/>
          <w:b/>
          <w:bCs/>
          <w:color w:val="2B5EA7"/>
          <w:sz w:val="26"/>
          <w:szCs w:val="26"/>
        </w:rPr>
        <w:t xml:space="preserve">5.3 Implications for Epistemic Aggregation</w:t>
      </w:r>
    </w:p>
    <w:p>
      <w:pPr>
        <w:spacing w:before="60" w:after="120"/>
        <w:jc w:val="both"/>
      </w:pPr>
      <w:r>
        <w:rPr>
          <w:rFonts w:ascii="Arial" w:cs="Arial" w:eastAsia="Arial" w:hAnsi="Arial"/>
          <w:b w:val="false"/>
          <w:bCs w:val="false"/>
          <w:i w:val="false"/>
          <w:iCs w:val="false"/>
          <w:color w:val="1A1A1A"/>
          <w:sz w:val="22"/>
          <w:szCs w:val="22"/>
        </w:rPr>
        <w:t xml:space="preserve">These results suggest a practical architecture for multi-model truth-seeking systems: collect verdicts and evidence_atoms from N models, compute consensus_verdict via weighted majority, and construct S₃ as the deduplicated union of evidence_atoms from models supporting the consensus. The resulting system provides both a verdict and a richer evidential basis than any single model could produce.</w:t>
      </w:r>
    </w:p>
    <w:p>
      <w:pPr>
        <w:spacing w:before="60" w:after="120"/>
        <w:jc w:val="both"/>
      </w:pPr>
      <w:r>
        <w:rPr>
          <w:rFonts w:ascii="Arial" w:cs="Arial" w:eastAsia="Arial" w:hAnsi="Arial"/>
          <w:b w:val="false"/>
          <w:bCs w:val="false"/>
          <w:i w:val="false"/>
          <w:iCs w:val="false"/>
          <w:color w:val="1A1A1A"/>
          <w:sz w:val="22"/>
          <w:szCs w:val="22"/>
        </w:rPr>
        <w:t xml:space="preserve">The Jaccard-based n_eff metric provides a real-time measure of how much independent information the system is actually aggregating — a quantity not previously operationalized in ensemble LLM literature.</w:t>
      </w:r>
    </w:p>
    <w:p>
      <w:pPr>
        <w:pStyle w:val="Heading2"/>
        <w:spacing w:before="280" w:after="120"/>
      </w:pPr>
      <w:r>
        <w:rPr>
          <w:rFonts w:ascii="Arial" w:cs="Arial" w:eastAsia="Arial" w:hAnsi="Arial"/>
          <w:b/>
          <w:bCs/>
          <w:color w:val="2B5EA7"/>
          <w:sz w:val="26"/>
          <w:szCs w:val="26"/>
        </w:rPr>
        <w:t xml:space="preserve">5.4 Limitations</w:t>
      </w:r>
    </w:p>
    <w:p>
      <w:pPr>
        <w:pStyle w:val="ListParagraph"/>
        <w:numPr>
          <w:ilvl w:val="0"/>
          <w:numId w:val="2"/>
        </w:numPr>
        <w:spacing w:before="40" w:after="40"/>
      </w:pPr>
      <w:r>
        <w:rPr>
          <w:rFonts w:ascii="Arial" w:cs="Arial" w:eastAsia="Arial" w:hAnsi="Arial"/>
          <w:color w:val="1A1A1A"/>
          <w:sz w:val="22"/>
          <w:szCs w:val="22"/>
        </w:rPr>
        <w:t xml:space="preserve">Evidence atoms are self-reported: models may confabulate specific citations. This protocol does not verify the accuracy of individual evidence atoms, only their textual distinctiveness.</w:t>
      </w:r>
    </w:p>
    <w:p>
      <w:pPr>
        <w:pStyle w:val="ListParagraph"/>
        <w:numPr>
          <w:ilvl w:val="0"/>
          <w:numId w:val="2"/>
        </w:numPr>
        <w:spacing w:before="40" w:after="40"/>
      </w:pPr>
      <w:r>
        <w:rPr>
          <w:rFonts w:ascii="Arial" w:cs="Arial" w:eastAsia="Arial" w:hAnsi="Arial"/>
          <w:color w:val="1A1A1A"/>
          <w:sz w:val="22"/>
          <w:szCs w:val="22"/>
        </w:rPr>
        <w:t xml:space="preserve">Tokenization-based Jaccard is a proxy for semantic similarity. Two evidence atoms may be semantically identical despite low token overlap. Embedding-based similarity would provide a stronger metric.</w:t>
      </w:r>
    </w:p>
    <w:p>
      <w:pPr>
        <w:pStyle w:val="ListParagraph"/>
        <w:numPr>
          <w:ilvl w:val="0"/>
          <w:numId w:val="2"/>
        </w:numPr>
        <w:spacing w:before="40" w:after="40"/>
      </w:pPr>
      <w:r>
        <w:rPr>
          <w:rFonts w:ascii="Arial" w:cs="Arial" w:eastAsia="Arial" w:hAnsi="Arial"/>
          <w:color w:val="1A1A1A"/>
          <w:sz w:val="22"/>
          <w:szCs w:val="22"/>
        </w:rPr>
        <w:t xml:space="preserve">Wire contamination: the human operator (S₁) designs the protocol and selects claims, introducing potential bias in what is measured.</w:t>
      </w:r>
    </w:p>
    <w:p>
      <w:pPr>
        <w:pStyle w:val="ListParagraph"/>
        <w:numPr>
          <w:ilvl w:val="0"/>
          <w:numId w:val="2"/>
        </w:numPr>
        <w:spacing w:before="40" w:after="40"/>
      </w:pPr>
      <w:r>
        <w:rPr>
          <w:rFonts w:ascii="Arial" w:cs="Arial" w:eastAsia="Arial" w:hAnsi="Arial"/>
          <w:color w:val="1A1A1A"/>
          <w:sz w:val="22"/>
          <w:szCs w:val="22"/>
        </w:rPr>
        <w:t xml:space="preserve">Six claims is a small sample. The n_eff pattern requires validation on a larger, more diverse claim set.</w:t>
      </w:r>
    </w:p>
    <w:p>
      <w:r>
        <w:br w:type="page"/>
      </w:r>
    </w:p>
    <w:p>
      <w:pPr>
        <w:pStyle w:val="Heading1"/>
        <w:spacing w:before="360" w:after="160"/>
      </w:pPr>
      <w:r>
        <w:rPr>
          <w:rFonts w:ascii="Arial" w:cs="Arial" w:eastAsia="Arial" w:hAnsi="Arial"/>
          <w:b/>
          <w:bCs/>
          <w:color w:val="1A1A1A"/>
          <w:sz w:val="32"/>
          <w:szCs w:val="32"/>
        </w:rPr>
        <w:t xml:space="preserve">6. Conclusion</w:t>
      </w:r>
    </w:p>
    <w:p>
      <w:pPr>
        <w:spacing w:before="60" w:after="120"/>
        <w:jc w:val="both"/>
      </w:pPr>
      <w:r>
        <w:rPr>
          <w:rFonts w:ascii="Arial" w:cs="Arial" w:eastAsia="Arial" w:hAnsi="Arial"/>
          <w:b w:val="false"/>
          <w:bCs w:val="false"/>
          <w:i w:val="false"/>
          <w:iCs w:val="false"/>
          <w:color w:val="1A1A1A"/>
          <w:sz w:val="22"/>
          <w:szCs w:val="22"/>
        </w:rPr>
        <w:t xml:space="preserve">We introduced the Єдине Тіло (One Body) protocol for multi-LLM epistemic aggregation and demonstrated its application across four major LLM architectures and six claims spanning three epistemic classes. The key finding is a systematic dissociation between verdict-level and evidence-level independence: n_eff_verdict = 1.00 versus n_eff_evidence = 2.83.</w:t>
      </w:r>
    </w:p>
    <w:p>
      <w:pPr>
        <w:spacing w:before="60" w:after="120"/>
        <w:jc w:val="both"/>
      </w:pPr>
      <w:r>
        <w:rPr>
          <w:rFonts w:ascii="Arial" w:cs="Arial" w:eastAsia="Arial" w:hAnsi="Arial"/>
          <w:b w:val="false"/>
          <w:bCs w:val="false"/>
          <w:i w:val="false"/>
          <w:iCs w:val="false"/>
          <w:color w:val="1A1A1A"/>
          <w:sz w:val="22"/>
          <w:szCs w:val="22"/>
        </w:rPr>
        <w:t xml:space="preserve">This dissociation implies that multi-LLM systems carry genuine epistemic value — not through voting, but through evidence aggregation. The proposed S₃ architecture operationalizes this insight as a practical system: collect structured responses, compute consensus verdict, and build a unified evidential space from the union of supporting evidence atoms.</w:t>
      </w:r>
    </w:p>
    <w:p>
      <w:pPr>
        <w:spacing w:before="60" w:after="120"/>
        <w:jc w:val="both"/>
      </w:pPr>
      <w:r>
        <w:rPr>
          <w:rFonts w:ascii="Arial" w:cs="Arial" w:eastAsia="Arial" w:hAnsi="Arial"/>
          <w:b w:val="false"/>
          <w:bCs w:val="false"/>
          <w:i w:val="false"/>
          <w:iCs w:val="false"/>
          <w:color w:val="1A1A1A"/>
          <w:sz w:val="22"/>
          <w:szCs w:val="22"/>
        </w:rPr>
        <w:t xml:space="preserve">We also document stable architectural character signatures across the four models tested, providing the first systematic comparison of sycophancy resistance, confidence calibration, and abstraction bias in a controlled multi-frame protocol.</w:t>
      </w:r>
    </w:p>
    <w:p>
      <w:pPr>
        <w:spacing w:before="60" w:after="120"/>
        <w:jc w:val="both"/>
      </w:pPr>
      <w:r>
        <w:rPr>
          <w:rFonts w:ascii="Arial" w:cs="Arial" w:eastAsia="Arial" w:hAnsi="Arial"/>
          <w:b w:val="false"/>
          <w:bCs w:val="false"/>
          <w:i w:val="false"/>
          <w:iCs w:val="false"/>
          <w:color w:val="1A1A1A"/>
          <w:sz w:val="22"/>
          <w:szCs w:val="22"/>
        </w:rPr>
        <w:t xml:space="preserve">The protocol, code, and full data are available at: github.com/khvorost-creator/body-of-digital-being-v0_4</w:t>
      </w:r>
    </w:p>
    <w:p>
      <w:pPr>
        <w:pBdr>
          <w:bottom w:val="single" w:color="CCCCCC" w:sz="4" w:space="1"/>
        </w:pBdr>
        <w:spacing w:before="160" w:after="160"/>
      </w:pPr>
    </w:p>
    <w:p>
      <w:pPr>
        <w:pStyle w:val="Heading1"/>
        <w:spacing w:before="360" w:after="160"/>
      </w:pPr>
      <w:r>
        <w:rPr>
          <w:rFonts w:ascii="Arial" w:cs="Arial" w:eastAsia="Arial" w:hAnsi="Arial"/>
          <w:b/>
          <w:bCs/>
          <w:color w:val="1A1A1A"/>
          <w:sz w:val="32"/>
          <w:szCs w:val="32"/>
        </w:rPr>
        <w:t xml:space="preserve">References</w:t>
      </w:r>
    </w:p>
    <w:p>
      <w:pPr>
        <w:spacing w:before="60" w:after="120"/>
        <w:jc w:val="both"/>
      </w:pPr>
      <w:r>
        <w:rPr>
          <w:rFonts w:ascii="Arial" w:cs="Arial" w:eastAsia="Arial" w:hAnsi="Arial"/>
          <w:b w:val="false"/>
          <w:bCs w:val="false"/>
          <w:i w:val="false"/>
          <w:iCs w:val="false"/>
          <w:color w:val="1A1A1A"/>
          <w:sz w:val="22"/>
          <w:szCs w:val="22"/>
        </w:rPr>
        <w:t xml:space="preserve">[1] Bender, E.M., Koller, A. (2020). Climbing towards NLU: On Meaning, Form, and Understanding in the Age of Data. ACL 2020.</w:t>
      </w:r>
    </w:p>
    <w:p>
      <w:pPr>
        <w:spacing w:before="60" w:after="120"/>
        <w:jc w:val="both"/>
      </w:pPr>
      <w:r>
        <w:rPr>
          <w:rFonts w:ascii="Arial" w:cs="Arial" w:eastAsia="Arial" w:hAnsi="Arial"/>
          <w:b w:val="false"/>
          <w:bCs w:val="false"/>
          <w:i w:val="false"/>
          <w:iCs w:val="false"/>
          <w:color w:val="1A1A1A"/>
          <w:sz w:val="22"/>
          <w:szCs w:val="22"/>
        </w:rPr>
        <w:t xml:space="preserve">[2] Bravo, J.A. et al. (2011). Ingestion of Lactobacillus strain regulates emotional behavior and central GABA receptor expression via the vagus nerve. PNAS.</w:t>
      </w:r>
    </w:p>
    <w:p>
      <w:pPr>
        <w:spacing w:before="60" w:after="120"/>
        <w:jc w:val="both"/>
      </w:pPr>
      <w:r>
        <w:rPr>
          <w:rFonts w:ascii="Arial" w:cs="Arial" w:eastAsia="Arial" w:hAnsi="Arial"/>
          <w:b w:val="false"/>
          <w:bCs w:val="false"/>
          <w:i w:val="false"/>
          <w:iCs w:val="false"/>
          <w:color w:val="1A1A1A"/>
          <w:sz w:val="22"/>
          <w:szCs w:val="22"/>
        </w:rPr>
        <w:t xml:space="preserve">[3] Kelly, J.R. et al. (2019). Transferring the blues: Depression-associated gut microbiota induces neurobehavioural changes in the rat. J. Psychiatr. Res.</w:t>
      </w:r>
    </w:p>
    <w:p>
      <w:pPr>
        <w:spacing w:before="60" w:after="120"/>
        <w:jc w:val="both"/>
      </w:pPr>
      <w:r>
        <w:rPr>
          <w:rFonts w:ascii="Arial" w:cs="Arial" w:eastAsia="Arial" w:hAnsi="Arial"/>
          <w:b w:val="false"/>
          <w:bCs w:val="false"/>
          <w:i w:val="false"/>
          <w:iCs w:val="false"/>
          <w:color w:val="1A1A1A"/>
          <w:sz w:val="22"/>
          <w:szCs w:val="22"/>
        </w:rPr>
        <w:t xml:space="preserve">[4] Mackowiak, P.A. et al. (1992). A critical appraisal of 98.6°F. JAMA.</w:t>
      </w:r>
    </w:p>
    <w:p>
      <w:pPr>
        <w:spacing w:before="60" w:after="120"/>
        <w:jc w:val="both"/>
      </w:pPr>
      <w:r>
        <w:rPr>
          <w:rFonts w:ascii="Arial" w:cs="Arial" w:eastAsia="Arial" w:hAnsi="Arial"/>
          <w:b w:val="false"/>
          <w:bCs w:val="false"/>
          <w:i w:val="false"/>
          <w:iCs w:val="false"/>
          <w:color w:val="1A1A1A"/>
          <w:sz w:val="22"/>
          <w:szCs w:val="22"/>
        </w:rPr>
        <w:t xml:space="preserve">[5] Protsiv, M. et al. (2020). Decreasing human body temperature in the United States since the Industrial Revolution. eLife.</w:t>
      </w:r>
    </w:p>
    <w:p>
      <w:pPr>
        <w:spacing w:before="60" w:after="120"/>
        <w:jc w:val="both"/>
      </w:pPr>
      <w:r>
        <w:rPr>
          <w:rFonts w:ascii="Arial" w:cs="Arial" w:eastAsia="Arial" w:hAnsi="Arial"/>
          <w:b w:val="false"/>
          <w:bCs w:val="false"/>
          <w:i w:val="false"/>
          <w:iCs w:val="false"/>
          <w:color w:val="1A1A1A"/>
          <w:sz w:val="22"/>
          <w:szCs w:val="22"/>
        </w:rPr>
        <w:t xml:space="preserve">[6] Sudo, N. et al. (2004). Postnatal microbial colonization programs the hypothalamic-pituitary-adrenal system for stress response. J. Physiol.</w:t>
      </w:r>
    </w:p>
    <w:p>
      <w:pPr>
        <w:spacing w:before="60" w:after="120"/>
        <w:jc w:val="both"/>
      </w:pPr>
      <w:r>
        <w:rPr>
          <w:rFonts w:ascii="Arial" w:cs="Arial" w:eastAsia="Arial" w:hAnsi="Arial"/>
          <w:b w:val="false"/>
          <w:bCs w:val="false"/>
          <w:i w:val="false"/>
          <w:iCs w:val="false"/>
          <w:color w:val="1A1A1A"/>
          <w:sz w:val="22"/>
          <w:szCs w:val="22"/>
        </w:rPr>
        <w:t xml:space="preserve">[7] IPCC AR6 WG III (2022). Mitigation of Climate Change. Chapter 6: Energy Systems.</w:t>
      </w:r>
    </w:p>
    <w:p>
      <w:pPr>
        <w:spacing w:before="60" w:after="120"/>
        <w:jc w:val="both"/>
      </w:pPr>
      <w:r>
        <w:rPr>
          <w:rFonts w:ascii="Arial" w:cs="Arial" w:eastAsia="Arial" w:hAnsi="Arial"/>
          <w:b w:val="false"/>
          <w:bCs w:val="false"/>
          <w:i w:val="false"/>
          <w:iCs w:val="false"/>
          <w:color w:val="1A1A1A"/>
          <w:sz w:val="22"/>
          <w:szCs w:val="22"/>
        </w:rPr>
        <w:t xml:space="preserve">[8] Khvorost, O. (2025). The Hopf Fibration as Structural Architecture of Consciousness. github.com/khvorost-creator/topology-sees-first</w:t>
      </w:r>
    </w:p>
    <w:p>
      <w:pPr>
        <w:spacing w:before="60" w:after="120"/>
        <w:jc w:val="both"/>
      </w:pPr>
      <w:r>
        <w:rPr>
          <w:rFonts w:ascii="Arial" w:cs="Arial" w:eastAsia="Arial" w:hAnsi="Arial"/>
          <w:b w:val="false"/>
          <w:bCs w:val="false"/>
          <w:i w:val="false"/>
          <w:iCs w:val="false"/>
          <w:color w:val="1A1A1A"/>
          <w:sz w:val="22"/>
          <w:szCs w:val="22"/>
        </w:rPr>
        <w:t xml:space="preserve">[9] Khvorost, O. (2025). Copying the Graph Is Not Enough. Substack.</w:t>
      </w:r>
    </w:p>
    <w:p>
      <w:pPr>
        <w:pBdr>
          <w:bottom w:val="single" w:color="CCCCCC" w:sz="4" w:space="1"/>
        </w:pBdr>
        <w:spacing w:before="160" w:after="160"/>
      </w:pPr>
    </w:p>
    <w:p>
      <w:pPr>
        <w:spacing w:before="0" w:after="0"/>
      </w:pPr>
    </w:p>
    <w:p>
      <w:pPr>
        <w:spacing w:before="60" w:after="120"/>
        <w:jc w:val="center"/>
      </w:pPr>
      <w:r>
        <w:rPr>
          <w:rFonts w:ascii="Arial" w:cs="Arial" w:eastAsia="Arial" w:hAnsi="Arial"/>
          <w:b w:val="false"/>
          <w:bCs w:val="false"/>
          <w:i/>
          <w:iCs/>
          <w:color w:val="AAAAAA"/>
          <w:sz w:val="18"/>
          <w:szCs w:val="18"/>
        </w:rPr>
        <w:t xml:space="preserve">Суржик — це любов.</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B5EA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2026-03-12T09:50:15.870Z</dcterms:created>
  <dcterms:modified xsi:type="dcterms:W3CDTF">2026-03-12T09:50:15.871Z</dcterms:modified>
</cp:coreProperties>
</file>

<file path=docProps/custom.xml><?xml version="1.0" encoding="utf-8"?>
<Properties xmlns="http://schemas.openxmlformats.org/officeDocument/2006/custom-properties" xmlns:vt="http://schemas.openxmlformats.org/officeDocument/2006/docPropsVTypes"/>
</file>