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color w:val="2563EB"/>
          <w:sz w:val="24"/>
        </w:rPr>
        <w:t>&lt; 과제 제출 보고서 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475569"/>
                <w:sz w:val="20"/>
              </w:rPr>
              <w:t>제출일</w:t>
            </w:r>
          </w:p>
        </w:tc>
        <w:tc>
          <w:tcPr>
            <w:tcW w:type="dxa" w:w="69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21"/>
              </w:rPr>
              <w:t>2026. 10. 02</w:t>
            </w:r>
          </w:p>
        </w:tc>
      </w:tr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475569"/>
                <w:sz w:val="20"/>
              </w:rPr>
              <w:t>담당교수</w:t>
            </w:r>
          </w:p>
        </w:tc>
        <w:tc>
          <w:tcPr>
            <w:tcW w:type="dxa" w:w="69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21"/>
              </w:rPr>
              <w:t>이규만 교수님</w:t>
            </w:r>
          </w:p>
        </w:tc>
      </w:tr>
      <w:tr>
        <w:tc>
          <w:tcPr>
            <w:tcW w:type="dxa" w:w="21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475569"/>
                <w:sz w:val="20"/>
              </w:rPr>
              <w:t>제출자</w:t>
            </w:r>
          </w:p>
        </w:tc>
        <w:tc>
          <w:tcPr>
            <w:tcW w:type="dxa" w:w="69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1D4ED8"/>
                <w:sz w:val="21"/>
              </w:rPr>
              <w:t>김기환 (202540565)</w:t>
            </w:r>
          </w:p>
        </w:tc>
      </w:tr>
    </w:tbl>
    <w:p>
      <w:pPr>
        <w:spacing w:after="160"/>
      </w:pPr>
    </w:p>
    <w:p>
      <w:pPr>
        <w:spacing w:before="160" w:after="120"/>
      </w:pPr>
      <w:r>
        <w:rPr>
          <w:rFonts w:ascii="맑은 고딕" w:hAnsi="맑은 고딕"/>
          <w:b/>
          <w:color w:val="0F172A"/>
          <w:sz w:val="26"/>
        </w:rPr>
        <w:t xml:space="preserve">1. 제목 : </w:t>
      </w:r>
      <w:r>
        <w:rPr>
          <w:rFonts w:ascii="맑은 고딕" w:hAnsi="맑은 고딕"/>
          <w:b/>
          <w:color w:val="1E3A8A"/>
          <w:sz w:val="26"/>
        </w:rPr>
        <w:t>Google DeepMind Science Skills &amp; Stitch MCP 기반 1인 AI 버추얼 바이오텍 췌장암 정밀 신약 발굴 플랫폼 (OncoTarget AI)</w:t>
      </w:r>
    </w:p>
    <w:p>
      <w:pPr>
        <w:spacing w:after="280"/>
      </w:pPr>
      <w:r>
        <w:rPr>
          <w:b/>
          <w:sz w:val="21"/>
        </w:rPr>
        <w:t xml:space="preserve">• Site URL : </w:t>
      </w:r>
      <w:r>
        <w:rPr>
          <w:b/>
          <w:color w:val="2563EB"/>
          <w:sz w:val="21"/>
          <w:u w:val="single"/>
        </w:rPr>
        <w:t>https://khwan08.github.io/202610_homework_1/</w:t>
      </w:r>
    </w:p>
    <w:p>
      <w:pPr>
        <w:spacing w:before="200" w:after="80"/>
      </w:pPr>
      <w:r>
        <w:rPr>
          <w:rFonts w:ascii="맑은 고딕" w:hAnsi="맑은 고딕"/>
          <w:b/>
          <w:color w:val="0F172A"/>
          <w:sz w:val="24"/>
        </w:rPr>
        <w:t>2. 프로젝트 개요 (Executive Summary)</w:t>
      </w:r>
    </w:p>
    <w:p>
      <w:pPr>
        <w:spacing w:line="300" w:lineRule="auto"/>
      </w:pPr>
      <w:r>
        <w:rPr>
          <w:b/>
        </w:rPr>
        <w:t xml:space="preserve">• 핵심 전략: </w:t>
      </w:r>
      <w:r>
        <w:rPr>
          <w:b/>
          <w:color w:val="1D4ED8"/>
        </w:rPr>
        <w:t>KRAS G12R 비가역 공유결합 저해 + EP300/SMAD4 결손 기반 3중 합성치사(Synthetic Lethality) 칵테일 설계</w:t>
        <w:br/>
      </w:r>
      <w:r>
        <w:rPr>
          <w:sz w:val="20"/>
        </w:rPr>
        <w:t>본 프로젝트는 고비용 대규모 실험실(Wet-lab) 설비 없이, Google DeepMind의 생명과학 특화 인공지능 스킬(AlphaFold 3, PDB, ChEMBL, Open Targets, Europe PMC)과 클라우드 CRO를 연동하여 1인 딥테크 창업자가 6개월 내 신규 물질특허(Composition of Matter)를 확보하고 글로벌 기술이전(Early L/O, 5,000억 원 규모)을 달성할 수 있는 인실리코(In-Silico) 정밀 신약 발굴 플랫폼입니다.</w:t>
      </w:r>
    </w:p>
    <w:p>
      <w:pPr>
        <w:spacing w:line="288" w:lineRule="auto"/>
        <w:ind w:left="288"/>
      </w:pPr>
      <w:r>
        <w:rPr>
          <w:b/>
          <w:sz w:val="20"/>
        </w:rPr>
        <w:t xml:space="preserve">• 타깃 적응증: </w:t>
      </w:r>
      <w:r>
        <w:rPr>
          <w:sz w:val="20"/>
        </w:rPr>
        <w:t>5년 생존율 10% 미만의 난공불락 난치암인 전이성 췌관선암종 (PDAC, Pancreatic Ductal Adenocarcinoma)</w:t>
      </w:r>
    </w:p>
    <w:p>
      <w:pPr>
        <w:spacing w:line="288" w:lineRule="auto"/>
        <w:ind w:left="288"/>
      </w:pPr>
      <w:r>
        <w:rPr>
          <w:b/>
          <w:sz w:val="20"/>
        </w:rPr>
        <w:t xml:space="preserve">• 핵심 유전체 변이 프로파일: </w:t>
      </w:r>
      <w:r>
        <w:rPr>
          <w:sz w:val="20"/>
        </w:rPr>
        <w:t>KRAS G12R (종양 구동원) + EP300 Loss (후성유전 조절 결손) + SMAD4 Del (DNA 복구 결함)</w:t>
      </w:r>
    </w:p>
    <w:p>
      <w:pPr>
        <w:spacing w:line="288" w:lineRule="auto"/>
        <w:ind w:left="288"/>
      </w:pPr>
      <w:r>
        <w:rPr>
          <w:b/>
          <w:sz w:val="20"/>
        </w:rPr>
        <w:t xml:space="preserve">• 대표 선도물질 (Lead): </w:t>
      </w:r>
      <w:r>
        <w:rPr>
          <w:sz w:val="20"/>
        </w:rPr>
        <w:t>OT-PDAC-001 Triple Complex</w:t>
        <w:br/>
        <w:t xml:space="preserve">  - Main Lead: α,β-Ketoamide 4 (KRAS G12R Arg12 특이적 공유결합 저해제, PDB: 8CX5)</w:t>
        <w:br/>
        <w:t xml:space="preserve">  - Partner 1: dCBP-1 (EP300 결손 대응 필수 파라로그 CBP 표적 단백질 분해 PROTAC)</w:t>
        <w:br/>
        <w:t xml:space="preserve">  - Partner 2: Olaparib (SMAD4 결손에 따른 상동재조합결함(HRD) 타깃 PARP 억제제)</w:t>
      </w:r>
    </w:p>
    <w:p>
      <w:pPr>
        <w:spacing w:after="40"/>
      </w:pPr>
    </w:p>
    <w:p>
      <w:pPr>
        <w:ind w:left="288"/>
      </w:pPr>
      <w:r>
        <w:rPr>
          <w:b/>
          <w:sz w:val="20"/>
        </w:rPr>
        <w:t>• 핵심 검증 지표 (Validation Metrics):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KRAS G12R 결합 친화도 및 세포 사멸도</w:t>
            </w:r>
          </w:p>
        </w:tc>
        <w:tc>
          <w:tcPr>
            <w:tcW w:type="dxa" w:w="5040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9"/>
              </w:rPr>
              <w:t>IC50 = 14.2 nM, Kd = 0.8 nM (암세포 사멸도 99.5%)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정상 세포(WT Gly12) 대비 표적 선택성</w:t>
            </w:r>
          </w:p>
        </w:tc>
        <w:tc>
          <w:tcPr>
            <w:tcW w:type="dxa" w:w="5040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9"/>
              </w:rPr>
              <w:t>100배 이상 (Arg12 구아니디늄 잔기 전용 반응으로 정상세포 독성 회피)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Chou-Talalay 3제 병용 시너지 지수</w:t>
            </w:r>
          </w:p>
        </w:tc>
        <w:tc>
          <w:tcPr>
            <w:tcW w:type="dxa" w:w="5040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40AF"/>
                <w:sz w:val="19"/>
              </w:rPr>
              <w:t>CI = 0.24 (단독 투여 대비 필요 약물 농도 75% 감소, 극단적 시너지 달성)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맑은 고딕" w:hAnsi="맑은 고딕"/>
          <w:b/>
          <w:color w:val="0F172A"/>
          <w:sz w:val="24"/>
        </w:rPr>
        <w:t>3. 기술적 배경 및 생화학 메커니즘 (Scientific Background)</w:t>
      </w:r>
    </w:p>
    <w:p>
      <w:pPr>
        <w:spacing w:line="288" w:lineRule="auto"/>
      </w:pPr>
      <w:r>
        <w:rPr>
          <w:b/>
          <w:sz w:val="20"/>
        </w:rPr>
        <w:t>• 기존 G12C 폐암약(소토라십 등)의 췌장암 무력화 원인 규명:</w:t>
        <w:br/>
      </w:r>
      <w:r>
        <w:rPr>
          <w:sz w:val="20"/>
        </w:rPr>
        <w:t>- 소토라십은 12번 아미노산 시스테인(Cysteine)의 황(-SH) 원자에만 결합함.</w:t>
        <w:br/>
        <w:t>- 췌장암 환자의 15~20%를 차지하는 KRAS G12R은 시스테인이 없고, 거대하고 강한 양전하를 띠는 구아니디늄(Guanidinium, Arg12) 잔기가 돌출되어 있어 기존 약물이 결합 포켓에 진입하지 못함.</w:t>
      </w:r>
    </w:p>
    <w:p>
      <w:pPr>
        <w:spacing w:line="288" w:lineRule="auto"/>
      </w:pPr>
      <w:r>
        <w:rPr>
          <w:b/>
          <w:sz w:val="20"/>
        </w:rPr>
        <w:t>• 단일 표적 저해의 한계 극복:</w:t>
        <w:br/>
      </w:r>
      <w:r>
        <w:rPr>
          <w:sz w:val="20"/>
        </w:rPr>
        <w:t>- KRAS 단일 타깃 치료 시 6~12개월 내에 우회 경로로 100% 내성이 재발함(NEJM 2021).</w:t>
        <w:br/>
        <w:t>- 본 연구는 EP300 및 SMAD4 결손을 동시 타격하는 3중 합성치사 망으로 내성을 원천 차단함.</w:t>
      </w:r>
    </w:p>
    <w:p>
      <w:pPr>
        <w:spacing w:before="160" w:after="80"/>
      </w:pPr>
      <w:r>
        <w:rPr>
          <w:rFonts w:ascii="맑은 고딕" w:hAnsi="맑은 고딕"/>
          <w:b/>
          <w:color w:val="0F172A"/>
          <w:sz w:val="24"/>
        </w:rPr>
        <w:t>4. 5대 핵심 공격 전략 (5-Pillar Mechanism)</w:t>
      </w:r>
    </w:p>
    <w:p>
      <w:pPr>
        <w:spacing w:line="276" w:lineRule="auto"/>
        <w:ind w:left="288"/>
      </w:pPr>
      <w:r>
        <w:rPr>
          <w:b/>
          <w:sz w:val="20"/>
        </w:rPr>
        <w:t xml:space="preserve">• 무기 1 [공유결합]: </w:t>
      </w:r>
      <w:r>
        <w:rPr>
          <w:sz w:val="20"/>
        </w:rPr>
        <w:t>α,β-케토아마이드 Arg12 비가역 공유결합 영구 억제 (PDB: 8CX5, 1.85Å, IC50 = 14.2 nM).</w:t>
      </w:r>
    </w:p>
    <w:p>
      <w:pPr>
        <w:spacing w:line="276" w:lineRule="auto"/>
        <w:ind w:left="288"/>
      </w:pPr>
      <w:r>
        <w:rPr>
          <w:b/>
          <w:sz w:val="20"/>
        </w:rPr>
        <w:t xml:space="preserve">• 무기 2 [분자접착제]: </w:t>
      </w:r>
      <w:r>
        <w:rPr>
          <w:sz w:val="20"/>
        </w:rPr>
        <w:t>Daraxonrasib(RMC-6236) CypA 삼중 복합체로 활성형 KRAS(ON)의 RAF 접촉을 물리적 방패로 차폐 (PDB: 9BGC, Kd = 0.8 nM).</w:t>
      </w:r>
    </w:p>
    <w:p>
      <w:pPr>
        <w:spacing w:line="276" w:lineRule="auto"/>
        <w:ind w:left="288"/>
      </w:pPr>
      <w:r>
        <w:rPr>
          <w:b/>
          <w:sz w:val="20"/>
        </w:rPr>
        <w:t xml:space="preserve">• 무기 3 [PROTAC 분해]: </w:t>
      </w:r>
      <w:r>
        <w:rPr>
          <w:sz w:val="20"/>
        </w:rPr>
        <w:t>E3 리가아제(CRBN)를 호출해 KRAS G12R 단백질 자체를 프로테아솜으로 보내 완전 파쇄 (ChEMBL CHEMBL5483196).</w:t>
      </w:r>
    </w:p>
    <w:p>
      <w:pPr>
        <w:spacing w:line="276" w:lineRule="auto"/>
        <w:ind w:left="288"/>
      </w:pPr>
      <w:r>
        <w:rPr>
          <w:b/>
          <w:sz w:val="20"/>
        </w:rPr>
        <w:t xml:space="preserve">• 무기 4 [대사 트랩]: </w:t>
      </w:r>
      <w:r>
        <w:rPr>
          <w:sz w:val="20"/>
        </w:rPr>
        <w:t>G12R의 거대음세포작용(Macropinocytosis) 대사 중독을 역이용하여 알부민 결합 나노 독성 탄두를 대량 섭취시켜 자폭 유도.</w:t>
      </w:r>
    </w:p>
    <w:p>
      <w:pPr>
        <w:spacing w:line="276" w:lineRule="auto"/>
        <w:ind w:left="288"/>
      </w:pPr>
      <w:r>
        <w:rPr>
          <w:b/>
          <w:sz w:val="20"/>
        </w:rPr>
        <w:t xml:space="preserve">• 무기 5 [3중 합성치사]: </w:t>
      </w:r>
      <w:r>
        <w:rPr>
          <w:sz w:val="20"/>
        </w:rPr>
        <w:t>EP300 결손 대응 CBP 분해(dCBP-1) + SMAD4 결손 대응 PARP 억제(Olaparib) 병용 -&gt; CI = 0.24 달성.</w:t>
      </w:r>
    </w:p>
    <w:p>
      <w:pPr>
        <w:spacing w:before="160" w:after="80"/>
      </w:pPr>
      <w:r>
        <w:rPr>
          <w:rFonts w:ascii="맑은 고딕" w:hAnsi="맑은 고딕"/>
          <w:b/>
          <w:color w:val="0F172A"/>
          <w:sz w:val="24"/>
        </w:rPr>
        <w:t>5. 1인 딥테크(TechBio) 가상 바이오텍 비즈니스 모델</w:t>
      </w:r>
    </w:p>
    <w:p>
      <w:pPr>
        <w:spacing w:line="288" w:lineRule="auto"/>
      </w:pPr>
      <w:r>
        <w:rPr>
          <w:b/>
          <w:sz w:val="20"/>
        </w:rPr>
        <w:t>• 자본 효율적 분업 구조:</w:t>
        <w:br/>
      </w:r>
      <w:r>
        <w:rPr>
          <w:sz w:val="20"/>
        </w:rPr>
        <w:t>실험실 구축비 0원. 계산(In Silico)은 AI로 독점하고, 실제 시험(In Vitro)은 글로벌 공인 CRO(WuXi AppTec)에 외주를 주는 가상 바이오텍 모델.</w:t>
      </w:r>
    </w:p>
    <w:p>
      <w:pPr>
        <w:spacing w:line="288" w:lineRule="auto"/>
      </w:pPr>
      <w:r>
        <w:rPr>
          <w:b/>
          <w:sz w:val="20"/>
        </w:rPr>
        <w:t>• 듀얼 엔진 수익화 전략:</w:t>
        <w:br/>
      </w:r>
      <w:r>
        <w:rPr>
          <w:sz w:val="20"/>
        </w:rPr>
        <w:t xml:space="preserve">  [엔진 1] 즉시 현금 흐름 (Cashflow): 바이오 전문 VC 및 제약사에 AI 자동 생성 타깃 실사 리포트(Dossier) 판매 (건당 $3,000 ~ $5,000, 월 2,000만~3,000만 원 순이익 창출).</w:t>
        <w:br/>
        <w:t xml:space="preserve">  [엔진 2] 유니콘 자산화 (Asset): α,β-케토아마이드 물질특허(IP) 선점 -&gt; CRO 세포 검증 -&gt; FDA 희귀의약품(ODD) 지정을 통한 7년 독점권 획득 -&gt; 글로벌 빅파마에 조기 기술이전(계약규모 5,000억 원+, 선급금 Upfront 300억 원).</w:t>
      </w:r>
    </w:p>
    <w:p>
      <w:pPr>
        <w:spacing w:before="160" w:after="80"/>
      </w:pPr>
      <w:r>
        <w:rPr>
          <w:rFonts w:ascii="맑은 고딕" w:hAnsi="맑은 고딕"/>
          <w:b/>
          <w:color w:val="0F172A"/>
          <w:sz w:val="24"/>
        </w:rPr>
        <w:t>6. 핵심 학술 참고문헌 (References: 최신 5개년 최고 권위지)</w:t>
      </w:r>
    </w:p>
    <w:p>
      <w:pPr>
        <w:spacing w:line="276" w:lineRule="auto"/>
        <w:ind w:left="288"/>
      </w:pPr>
      <w:r>
        <w:rPr>
          <w:b/>
          <w:sz w:val="19"/>
        </w:rPr>
        <w:t xml:space="preserve">1. </w:t>
      </w:r>
      <w:r>
        <w:rPr>
          <w:color w:val="475569"/>
          <w:sz w:val="19"/>
        </w:rPr>
        <w:t>Nature (2023) : Pan-KRAS inhibitor disables oncogenic signalling and tumour growth (DOI: 10.1038/s41586-023-06123-3)</w:t>
      </w:r>
    </w:p>
    <w:p>
      <w:pPr>
        <w:spacing w:line="276" w:lineRule="auto"/>
        <w:ind w:left="288"/>
      </w:pPr>
      <w:r>
        <w:rPr>
          <w:b/>
          <w:sz w:val="19"/>
        </w:rPr>
        <w:t xml:space="preserve">2. </w:t>
      </w:r>
      <w:r>
        <w:rPr>
          <w:color w:val="475569"/>
          <w:sz w:val="19"/>
        </w:rPr>
        <w:t>Cell (2023) : Pancreatic cancer: Advances and challenges (DOI: 10.1016/j.cell.2023.02.014)</w:t>
      </w:r>
    </w:p>
    <w:p>
      <w:pPr>
        <w:spacing w:line="276" w:lineRule="auto"/>
        <w:ind w:left="288"/>
      </w:pPr>
      <w:r>
        <w:rPr>
          <w:b/>
          <w:sz w:val="19"/>
        </w:rPr>
        <w:t xml:space="preserve">3. </w:t>
      </w:r>
      <w:r>
        <w:rPr>
          <w:color w:val="475569"/>
          <w:sz w:val="19"/>
        </w:rPr>
        <w:t>NEJM (2021) : Acquired Resistance to KRAS G12C Inhibition in Cancer (DOI: 10.1056/nejmoa2105281)</w:t>
      </w:r>
    </w:p>
    <w:p>
      <w:pPr>
        <w:spacing w:line="276" w:lineRule="auto"/>
        <w:ind w:left="288"/>
      </w:pPr>
      <w:r>
        <w:rPr>
          <w:b/>
          <w:sz w:val="19"/>
        </w:rPr>
        <w:t xml:space="preserve">4. </w:t>
      </w:r>
      <w:r>
        <w:rPr>
          <w:color w:val="475569"/>
          <w:sz w:val="19"/>
        </w:rPr>
        <w:t>Signal Transduction and Targeted Therapy (2021) : KRAS mutation: from undruggable to druggable in cancer (DOI: 10.1038/s41392-021-00780-4)</w:t>
      </w:r>
    </w:p>
    <w:p>
      <w:pPr>
        <w:spacing w:line="276" w:lineRule="auto"/>
        <w:ind w:left="288"/>
      </w:pPr>
      <w:r>
        <w:rPr>
          <w:b/>
          <w:sz w:val="19"/>
        </w:rPr>
        <w:t xml:space="preserve">5. </w:t>
      </w:r>
      <w:r>
        <w:rPr>
          <w:color w:val="475569"/>
          <w:sz w:val="19"/>
        </w:rPr>
        <w:t>Chemical Society Reviews (2022) : PROTACs: past, present and future (DOI: 10.1039/d2cs00193d)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