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jc w:val="center"/>
      </w:pPr>
      <w:r>
        <w:rPr>
          <w:rFonts w:ascii="Arial" w:cs="Arial" w:eastAsia="Arial" w:hAnsi="Arial"/>
          <w:b/>
          <w:bCs/>
          <w:color w:val="1F3864"/>
          <w:sz w:val="30"/>
          <w:szCs w:val="30"/>
        </w:rPr>
        <w:t xml:space="preserve">VIT BHOPAL UNIVERSITY</w:t>
      </w:r>
    </w:p>
    <w:p>
      <w:pPr>
        <w:spacing w:before="0" w:after="80"/>
        <w:jc w:val="center"/>
      </w:pPr>
      <w:r>
        <w:rPr>
          <w:rFonts w:ascii="Arial" w:cs="Arial" w:eastAsia="Arial" w:hAnsi="Arial"/>
          <w:color w:val="777777"/>
          <w:sz w:val="20"/>
          <w:szCs w:val="20"/>
        </w:rPr>
        <w:t xml:space="preserve">Bhopal-Indore Highway, Kothrikalan, Sehore, Madhya Pradesh – 466114</w:t>
      </w:r>
    </w:p>
    <w:p>
      <w:pPr>
        <w:spacing w:before="0" w:after="480"/>
        <w:jc w:val="center"/>
      </w:pPr>
      <w:r>
        <w:rPr>
          <w:rFonts w:ascii="Arial" w:cs="Arial" w:eastAsia="Arial" w:hAnsi="Arial"/>
          <w:color w:val="555555"/>
          <w:sz w:val="20"/>
          <w:szCs w:val="20"/>
        </w:rPr>
        <w:t xml:space="preserve">School of Computer Science and Engineering</w:t>
      </w:r>
    </w:p>
    <w:p>
      <w:pPr>
        <w:pBdr>
          <w:bottom w:val="thick" w:color="1F3864" w:sz="28" w:space="1"/>
        </w:pBdr>
        <w:spacing w:before="0" w:after="480"/>
      </w:pPr>
      <w:r>
        <w:t xml:space="preserve"/>
      </w:r>
    </w:p>
    <w:p>
      <w:pPr>
        <w:spacing w:before="0" w:after="120"/>
        <w:jc w:val="center"/>
      </w:pPr>
      <w:r>
        <w:rPr>
          <w:rFonts w:ascii="Arial" w:cs="Arial" w:eastAsia="Arial" w:hAnsi="Arial"/>
          <w:b/>
          <w:bCs/>
          <w:color w:val="777777"/>
          <w:sz w:val="28"/>
          <w:szCs w:val="28"/>
        </w:rPr>
        <w:t xml:space="preserve">PROJECT REPORT</w:t>
      </w:r>
    </w:p>
    <w:p>
      <w:pPr>
        <w:spacing w:before="0" w:after="120"/>
        <w:jc w:val="center"/>
      </w:pPr>
      <w:r>
        <w:rPr>
          <w:rFonts w:ascii="Arial" w:cs="Arial" w:eastAsia="Arial" w:hAnsi="Arial"/>
          <w:b/>
          <w:bCs/>
          <w:color w:val="1F3864"/>
          <w:sz w:val="52"/>
          <w:szCs w:val="52"/>
        </w:rPr>
        <w:t xml:space="preserve">DIGITAL LITERACY PORTFOLIO</w:t>
      </w:r>
    </w:p>
    <w:p>
      <w:pPr>
        <w:spacing w:before="0" w:after="80"/>
        <w:jc w:val="center"/>
      </w:pPr>
      <w:r>
        <w:rPr>
          <w:rFonts w:ascii="Arial" w:cs="Arial" w:eastAsia="Arial" w:hAnsi="Arial"/>
          <w:b/>
          <w:bCs/>
          <w:color w:val="2E74B5"/>
          <w:sz w:val="32"/>
          <w:szCs w:val="32"/>
        </w:rPr>
        <w:t xml:space="preserve">CSE0001 – Digital Literacy</w:t>
      </w:r>
    </w:p>
    <w:p>
      <w:pPr>
        <w:spacing w:before="0" w:after="640"/>
        <w:jc w:val="center"/>
      </w:pPr>
      <w:r>
        <w:rPr>
          <w:rFonts w:ascii="Arial" w:cs="Arial" w:eastAsia="Arial" w:hAnsi="Arial"/>
          <w:color w:val="888888"/>
          <w:sz w:val="24"/>
          <w:szCs w:val="24"/>
        </w:rPr>
        <w:t xml:space="preserve">Academic Year 2025 – 2026  |  Semester 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40"/>
            </w:tcMar>
          </w:tcPr>
          <w:p>
            <w:r>
              <w:rPr>
                <w:rFonts w:ascii="Arial" w:cs="Arial" w:eastAsia="Arial" w:hAnsi="Arial"/>
                <w:b/>
                <w:bCs/>
                <w:color w:val="FFFFFF"/>
                <w:sz w:val="22"/>
                <w:szCs w:val="22"/>
              </w:rPr>
              <w:t xml:space="preserve">Field</w:t>
            </w:r>
          </w:p>
        </w:tc>
        <w:tc>
          <w:tcPr>
            <w:tcW w:type="dxa" w:w="6360"/>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40"/>
            </w:tcMar>
          </w:tcPr>
          <w:p>
            <w:r>
              <w:rPr>
                <w:rFonts w:ascii="Arial" w:cs="Arial" w:eastAsia="Arial" w:hAnsi="Arial"/>
                <w:b/>
                <w:bCs/>
                <w:color w:val="FFFFFF"/>
                <w:sz w:val="22"/>
                <w:szCs w:val="22"/>
              </w:rPr>
              <w:t xml:space="preserve">Details</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Student Name</w:t>
            </w:r>
          </w:p>
        </w:tc>
        <w:tc>
          <w:tcPr>
            <w:tcW w:type="dxa" w:w="63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Khyati Singh</w:t>
            </w:r>
          </w:p>
        </w:tc>
      </w:tr>
      <w:tr>
        <w:tc>
          <w:tcPr>
            <w:tcW w:type="dxa" w:w="30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r>
              <w:rPr>
                <w:rFonts w:ascii="Arial" w:cs="Arial" w:eastAsia="Arial" w:hAnsi="Arial"/>
                <w:b w:val="false"/>
                <w:bCs w:val="false"/>
                <w:color w:val="222222"/>
                <w:sz w:val="22"/>
                <w:szCs w:val="22"/>
              </w:rPr>
              <w:t xml:space="preserve">Branch</w:t>
            </w:r>
          </w:p>
        </w:tc>
        <w:tc>
          <w:tcPr>
            <w:tcW w:type="dxa" w:w="636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r>
              <w:rPr>
                <w:rFonts w:ascii="Arial" w:cs="Arial" w:eastAsia="Arial" w:hAnsi="Arial"/>
                <w:b w:val="false"/>
                <w:bCs w:val="false"/>
                <w:color w:val="222222"/>
                <w:sz w:val="22"/>
                <w:szCs w:val="22"/>
              </w:rPr>
              <w:t xml:space="preserve">B.Tech – CSE Core (Computer Science &amp; Engineering)</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Year / Semester</w:t>
            </w:r>
          </w:p>
        </w:tc>
        <w:tc>
          <w:tcPr>
            <w:tcW w:type="dxa" w:w="63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First Year | Semester I</w:t>
            </w:r>
          </w:p>
        </w:tc>
      </w:tr>
      <w:tr>
        <w:tc>
          <w:tcPr>
            <w:tcW w:type="dxa" w:w="30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r>
              <w:rPr>
                <w:rFonts w:ascii="Arial" w:cs="Arial" w:eastAsia="Arial" w:hAnsi="Arial"/>
                <w:b w:val="false"/>
                <w:bCs w:val="false"/>
                <w:color w:val="222222"/>
                <w:sz w:val="22"/>
                <w:szCs w:val="22"/>
              </w:rPr>
              <w:t xml:space="preserve">Course Code</w:t>
            </w:r>
          </w:p>
        </w:tc>
        <w:tc>
          <w:tcPr>
            <w:tcW w:type="dxa" w:w="636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r>
              <w:rPr>
                <w:rFonts w:ascii="Arial" w:cs="Arial" w:eastAsia="Arial" w:hAnsi="Arial"/>
                <w:b w:val="false"/>
                <w:bCs w:val="false"/>
                <w:color w:val="222222"/>
                <w:sz w:val="22"/>
                <w:szCs w:val="22"/>
              </w:rPr>
              <w:t xml:space="preserve">CSE0001</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Course Title</w:t>
            </w:r>
          </w:p>
        </w:tc>
        <w:tc>
          <w:tcPr>
            <w:tcW w:type="dxa" w:w="63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Digital Literacy</w:t>
            </w:r>
          </w:p>
        </w:tc>
      </w:tr>
      <w:tr>
        <w:tc>
          <w:tcPr>
            <w:tcW w:type="dxa" w:w="30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r>
              <w:rPr>
                <w:rFonts w:ascii="Arial" w:cs="Arial" w:eastAsia="Arial" w:hAnsi="Arial"/>
                <w:b w:val="false"/>
                <w:bCs w:val="false"/>
                <w:color w:val="222222"/>
                <w:sz w:val="22"/>
                <w:szCs w:val="22"/>
              </w:rPr>
              <w:t xml:space="preserve">Credits</w:t>
            </w:r>
          </w:p>
        </w:tc>
        <w:tc>
          <w:tcPr>
            <w:tcW w:type="dxa" w:w="636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r>
              <w:rPr>
                <w:rFonts w:ascii="Arial" w:cs="Arial" w:eastAsia="Arial" w:hAnsi="Arial"/>
                <w:b w:val="false"/>
                <w:bCs w:val="false"/>
                <w:color w:val="222222"/>
                <w:sz w:val="22"/>
                <w:szCs w:val="22"/>
              </w:rPr>
              <w:t xml:space="preserve">1 Credit | Pass / Fail (Non-CGPA)</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Submission Date</w:t>
            </w:r>
          </w:p>
        </w:tc>
        <w:tc>
          <w:tcPr>
            <w:tcW w:type="dxa" w:w="63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March 2026</w:t>
            </w:r>
          </w:p>
        </w:tc>
      </w:tr>
      <w:tr>
        <w:tc>
          <w:tcPr>
            <w:tcW w:type="dxa" w:w="30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r>
              <w:rPr>
                <w:rFonts w:ascii="Arial" w:cs="Arial" w:eastAsia="Arial" w:hAnsi="Arial"/>
                <w:b w:val="false"/>
                <w:bCs w:val="false"/>
                <w:color w:val="222222"/>
                <w:sz w:val="22"/>
                <w:szCs w:val="22"/>
              </w:rPr>
              <w:t xml:space="preserve">Submitted To</w:t>
            </w:r>
          </w:p>
        </w:tc>
        <w:tc>
          <w:tcPr>
            <w:tcW w:type="dxa" w:w="636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r>
              <w:rPr>
                <w:rFonts w:ascii="Arial" w:cs="Arial" w:eastAsia="Arial" w:hAnsi="Arial"/>
                <w:b w:val="false"/>
                <w:bCs w:val="false"/>
                <w:color w:val="222222"/>
                <w:sz w:val="22"/>
                <w:szCs w:val="22"/>
              </w:rPr>
              <w:t xml:space="preserve">Dr. Garima Jain</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Registration No.</w:t>
            </w:r>
          </w:p>
        </w:tc>
        <w:tc>
          <w:tcPr>
            <w:tcW w:type="dxa" w:w="63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25BCE11336</w:t>
            </w:r>
          </w:p>
        </w:tc>
      </w:tr>
    </w:tbl>
    <w:p>
      <w:r>
        <w:br w:type="page"/>
      </w:r>
    </w:p>
    <w:p>
      <w:pPr>
        <w:sectPr>
          <w:pgSz w:w="11906" w:h="16838" w:orient="portrait"/>
          <w:pgMar w:top="1440" w:right="1440" w:bottom="1440" w:left="1440" w:header="708" w:footer="708" w:gutter="0"/>
          <w:pgNumType/>
          <w:docGrid w:linePitch="360"/>
        </w:sectPr>
      </w:pPr>
    </w:p>
    <w:p>
      <w:pPr>
        <w:pStyle w:val="Heading1"/>
        <w:pBdr>
          <w:bottom w:val="single" w:color="2E74B5" w:sz="8" w:space="4"/>
        </w:pBdr>
        <w:spacing w:before="400" w:after="160"/>
      </w:pPr>
      <w:r>
        <w:rPr>
          <w:rFonts w:ascii="Arial" w:cs="Arial" w:eastAsia="Arial" w:hAnsi="Arial"/>
          <w:b/>
          <w:bCs/>
          <w:color w:val="1F3864"/>
          <w:sz w:val="30"/>
          <w:szCs w:val="30"/>
        </w:rPr>
        <w:t xml:space="preserve">1.  Introduction</w:t>
      </w:r>
    </w:p>
    <w:p>
      <w:pPr>
        <w:spacing w:before="80" w:after="120" w:line="432"/>
        <w:jc w:val="both"/>
      </w:pPr>
      <w:r>
        <w:rPr>
          <w:rFonts w:ascii="Arial" w:cs="Arial" w:eastAsia="Arial" w:hAnsi="Arial"/>
          <w:color w:val="222222"/>
          <w:sz w:val="24"/>
          <w:szCs w:val="24"/>
        </w:rPr>
        <w:t xml:space="preserve">This report documents the Digital Literacy Portfolio of Khyati Singh, a first-year B.Tech CSE Core student at VIT Bhopal University, submitted as part of the CSE0001 – Digital Literacy course. As a Student Digital Ambassador, this project required exploring, practising, and reflecting on five key aspects of digital literacy mapped across five course modules.</w:t>
      </w:r>
    </w:p>
    <w:p>
      <w:pPr>
        <w:spacing w:before="80" w:after="120" w:line="432"/>
        <w:jc w:val="both"/>
      </w:pPr>
      <w:r>
        <w:rPr>
          <w:rFonts w:ascii="Arial" w:cs="Arial" w:eastAsia="Arial" w:hAnsi="Arial"/>
          <w:color w:val="222222"/>
          <w:sz w:val="24"/>
          <w:szCs w:val="24"/>
        </w:rPr>
        <w:t xml:space="preserve">The five tasks cover: creating a digital literacy infographic, building a professional digital presence, exploring coding and collaboration platforms, practising professional email communication, and developing cybercrime awareness. Together, these tasks build a foundational understanding of responsible, informed, and effective participation in today’s digital world.</w:t>
      </w:r>
    </w:p>
    <w:p>
      <w:pPr>
        <w:spacing w:before="60" w:after="60"/>
      </w:pPr>
      <w:r>
        <w:t xml:space="preserve"/>
      </w:r>
    </w:p>
    <w:p>
      <w:r>
        <w:br w:type="page"/>
      </w:r>
    </w:p>
    <w:p>
      <w:pPr>
        <w:pStyle w:val="Heading1"/>
        <w:pBdr>
          <w:bottom w:val="single" w:color="2E74B5" w:sz="8" w:space="4"/>
        </w:pBdr>
        <w:spacing w:before="400" w:after="160"/>
      </w:pPr>
      <w:r>
        <w:rPr>
          <w:rFonts w:ascii="Arial" w:cs="Arial" w:eastAsia="Arial" w:hAnsi="Arial"/>
          <w:b/>
          <w:bCs/>
          <w:color w:val="1F3864"/>
          <w:sz w:val="30"/>
          <w:szCs w:val="30"/>
        </w:rPr>
        <w:t xml:space="preserve">2.  Task 1 – Digital Literacy Awareness Infographic</w:t>
      </w:r>
    </w:p>
    <w:p>
      <w:pPr>
        <w:spacing w:before="60" w:after="120"/>
      </w:pPr>
      <w:r>
        <w:rPr>
          <w:rFonts w:ascii="Arial" w:cs="Arial" w:eastAsia="Arial" w:hAnsi="Arial"/>
          <w:b/>
          <w:bCs/>
          <w:color w:val="1F3864"/>
          <w:sz w:val="20"/>
          <w:szCs w:val="20"/>
        </w:rPr>
        <w:t xml:space="preserve">Module: </w:t>
      </w:r>
      <w:r>
        <w:rPr>
          <w:rFonts w:ascii="Arial" w:cs="Arial" w:eastAsia="Arial" w:hAnsi="Arial"/>
          <w:color w:val="555555"/>
          <w:sz w:val="20"/>
          <w:szCs w:val="20"/>
        </w:rPr>
        <w:t xml:space="preserve">1   |   </w:t>
      </w:r>
      <w:r>
        <w:rPr>
          <w:rFonts w:ascii="Arial" w:cs="Arial" w:eastAsia="Arial" w:hAnsi="Arial"/>
          <w:b/>
          <w:bCs/>
          <w:color w:val="1F3864"/>
          <w:sz w:val="20"/>
          <w:szCs w:val="20"/>
        </w:rPr>
        <w:t xml:space="preserve">Marks: </w:t>
      </w:r>
      <w:r>
        <w:rPr>
          <w:rFonts w:ascii="Arial" w:cs="Arial" w:eastAsia="Arial" w:hAnsi="Arial"/>
          <w:color w:val="555555"/>
          <w:sz w:val="20"/>
          <w:szCs w:val="20"/>
        </w:rPr>
        <w:t xml:space="preserve">20   |   </w:t>
      </w:r>
      <w:r>
        <w:rPr>
          <w:rFonts w:ascii="Arial" w:cs="Arial" w:eastAsia="Arial" w:hAnsi="Arial"/>
          <w:b/>
          <w:bCs/>
          <w:color w:val="1F3864"/>
          <w:sz w:val="20"/>
          <w:szCs w:val="20"/>
        </w:rPr>
        <w:t xml:space="preserve">Tool Used: </w:t>
      </w:r>
      <w:r>
        <w:rPr>
          <w:rFonts w:ascii="Arial" w:cs="Arial" w:eastAsia="Arial" w:hAnsi="Arial"/>
          <w:color w:val="555555"/>
          <w:sz w:val="20"/>
          <w:szCs w:val="20"/>
        </w:rPr>
        <w:t xml:space="preserve">Canva (canva.com)</w:t>
      </w:r>
    </w:p>
    <w:p>
      <w:pPr>
        <w:spacing w:before="60" w:after="60"/>
      </w:pPr>
      <w:r>
        <w:t xml:space="preserve"/>
      </w:r>
    </w:p>
    <w:p>
      <w:pPr>
        <w:pStyle w:val="Heading2"/>
        <w:spacing w:before="240" w:after="100"/>
      </w:pPr>
      <w:r>
        <w:rPr>
          <w:rFonts w:ascii="Arial" w:cs="Arial" w:eastAsia="Arial" w:hAnsi="Arial"/>
          <w:b/>
          <w:bCs/>
          <w:color w:val="2E74B5"/>
          <w:sz w:val="26"/>
          <w:szCs w:val="26"/>
        </w:rPr>
        <w:t xml:space="preserve">2.1  Tool Used and Design Description</w:t>
      </w:r>
    </w:p>
    <w:p>
      <w:pPr>
        <w:spacing w:before="80" w:after="120" w:line="432"/>
        <w:jc w:val="both"/>
      </w:pPr>
      <w:r>
        <w:rPr>
          <w:rFonts w:ascii="Arial" w:cs="Arial" w:eastAsia="Arial" w:hAnsi="Arial"/>
          <w:color w:val="222222"/>
          <w:sz w:val="24"/>
          <w:szCs w:val="24"/>
        </w:rPr>
        <w:t xml:space="preserve">For Task 1, a one-page digital literacy infographic was created using Canva (canva.com), a free browser-based graphic design platform. Canva provides professionally designed templates, drag-and-drop icons, diverse font pairings, and customisable colour palettes, making it accessible to users with no prior design experience.</w:t>
      </w:r>
    </w:p>
    <w:p>
      <w:pPr>
        <w:spacing w:before="80" w:after="120" w:line="432"/>
        <w:jc w:val="both"/>
      </w:pPr>
      <w:r>
        <w:rPr>
          <w:rFonts w:ascii="Arial" w:cs="Arial" w:eastAsia="Arial" w:hAnsi="Arial"/>
          <w:color w:val="222222"/>
          <w:sz w:val="24"/>
          <w:szCs w:val="24"/>
        </w:rPr>
        <w:t xml:space="preserve">The infographic, titled “Be Digitally Literate: A Student’s Guide,” is structured into five clearly labelled sections, each addressing a key digital literacy topic:</w:t>
      </w:r>
    </w:p>
    <w:p>
      <w:pPr>
        <w:pStyle w:val="ListParagraph"/>
        <w:numPr>
          <w:ilvl w:val="0"/>
          <w:numId w:val="2"/>
        </w:numPr>
        <w:spacing w:before="60" w:after="60" w:line="360"/>
      </w:pPr>
      <w:r>
        <w:rPr>
          <w:rFonts w:ascii="Arial" w:cs="Arial" w:eastAsia="Arial" w:hAnsi="Arial"/>
          <w:color w:val="222222"/>
          <w:sz w:val="24"/>
          <w:szCs w:val="24"/>
        </w:rPr>
        <w:t xml:space="preserve">What is Digital Literacy – the ability to find, evaluate, create, and communicate information using digital technology responsibly, safely, and ethically.</w:t>
      </w:r>
    </w:p>
    <w:p>
      <w:pPr>
        <w:pStyle w:val="ListParagraph"/>
        <w:numPr>
          <w:ilvl w:val="0"/>
          <w:numId w:val="2"/>
        </w:numPr>
        <w:spacing w:before="60" w:after="60" w:line="360"/>
      </w:pPr>
      <w:r>
        <w:rPr>
          <w:rFonts w:ascii="Arial" w:cs="Arial" w:eastAsia="Arial" w:hAnsi="Arial"/>
          <w:color w:val="222222"/>
          <w:sz w:val="24"/>
          <w:szCs w:val="24"/>
        </w:rPr>
        <w:t xml:space="preserve">Useful Digital Tools for Students – including Google Drive (cloud storage), Canva (design), Notion (note-taking), GitHub (code projects), and Google Meet (collaboration).</w:t>
      </w:r>
    </w:p>
    <w:p>
      <w:pPr>
        <w:pStyle w:val="ListParagraph"/>
        <w:numPr>
          <w:ilvl w:val="0"/>
          <w:numId w:val="2"/>
        </w:numPr>
        <w:spacing w:before="60" w:after="60" w:line="360"/>
      </w:pPr>
      <w:r>
        <w:rPr>
          <w:rFonts w:ascii="Arial" w:cs="Arial" w:eastAsia="Arial" w:hAnsi="Arial"/>
          <w:color w:val="222222"/>
          <w:sz w:val="24"/>
          <w:szCs w:val="24"/>
        </w:rPr>
        <w:t xml:space="preserve">Safe Internet Practices – creating strong passwords, enabling two-factor authentication (2FA), and avoiding public Wi-Fi for sensitive tasks like banking or accessing college portals.</w:t>
      </w:r>
    </w:p>
    <w:p>
      <w:pPr>
        <w:pStyle w:val="ListParagraph"/>
        <w:numPr>
          <w:ilvl w:val="0"/>
          <w:numId w:val="2"/>
        </w:numPr>
        <w:spacing w:before="60" w:after="60" w:line="360"/>
      </w:pPr>
      <w:r>
        <w:rPr>
          <w:rFonts w:ascii="Arial" w:cs="Arial" w:eastAsia="Arial" w:hAnsi="Arial"/>
          <w:color w:val="222222"/>
          <w:sz w:val="24"/>
          <w:szCs w:val="24"/>
        </w:rPr>
        <w:t xml:space="preserve">Professional Online Presence – maintaining a clean LinkedIn profile, a professional photograph, and an active GitHub repository.</w:t>
      </w:r>
    </w:p>
    <w:p>
      <w:pPr>
        <w:pStyle w:val="ListParagraph"/>
        <w:numPr>
          <w:ilvl w:val="0"/>
          <w:numId w:val="2"/>
        </w:numPr>
        <w:spacing w:before="60" w:after="60" w:line="360"/>
      </w:pPr>
      <w:r>
        <w:rPr>
          <w:rFonts w:ascii="Arial" w:cs="Arial" w:eastAsia="Arial" w:hAnsi="Arial"/>
          <w:color w:val="222222"/>
          <w:sz w:val="24"/>
          <w:szCs w:val="24"/>
        </w:rPr>
        <w:t xml:space="preserve">Email Etiquette – using a descriptive subject line, formal salutation, structured body, and a professional sign-off.</w:t>
      </w:r>
    </w:p>
    <w:p>
      <w:pPr>
        <w:spacing w:before="60" w:after="60"/>
      </w:pPr>
      <w:r>
        <w:t xml:space="preserve"/>
      </w:r>
    </w:p>
    <w:p>
      <w:pPr>
        <w:pStyle w:val="Heading2"/>
        <w:spacing w:before="240" w:after="100"/>
      </w:pPr>
      <w:r>
        <w:rPr>
          <w:rFonts w:ascii="Arial" w:cs="Arial" w:eastAsia="Arial" w:hAnsi="Arial"/>
          <w:b/>
          <w:bCs/>
          <w:color w:val="2E74B5"/>
          <w:sz w:val="26"/>
          <w:szCs w:val="26"/>
        </w:rPr>
        <w:t xml:space="preserve">2.2  Reflection</w:t>
      </w:r>
    </w:p>
    <w:p>
      <w:pPr>
        <w:spacing w:before="80" w:after="120" w:line="432"/>
        <w:jc w:val="both"/>
      </w:pPr>
      <w:r>
        <w:rPr>
          <w:rFonts w:ascii="Arial" w:cs="Arial" w:eastAsia="Arial" w:hAnsi="Arial"/>
          <w:color w:val="222222"/>
          <w:sz w:val="24"/>
          <w:szCs w:val="24"/>
        </w:rPr>
        <w:t xml:space="preserve">The most interesting aspect of this task was realising how broad the concept of digital literacy truly is. It had previously been assumed that digital literacy simply meant knowing how to use a computer. However, researching the content for the infographic revealed it encompasses online safety, professional communication, data privacy, critical evaluation of information sources, and responsible technology use – all essential competencies for a first-year college student.</w:t>
      </w:r>
    </w:p>
    <w:p>
      <w:pPr>
        <w:spacing w:before="80" w:after="120" w:line="432"/>
        <w:jc w:val="both"/>
      </w:pPr>
      <w:r>
        <w:rPr>
          <w:rFonts w:ascii="Arial" w:cs="Arial" w:eastAsia="Arial" w:hAnsi="Arial"/>
          <w:color w:val="222222"/>
          <w:sz w:val="24"/>
          <w:szCs w:val="24"/>
        </w:rPr>
        <w:t xml:space="preserve">The most challenging aspect was fitting all five topics onto a single page while maintaining visual clarity. Multiple layout iterations were required, experimenting with font sizes, section spacing, icon placement, and text-to-visual balance, before arriving at a clean and readable final design.</w:t>
      </w:r>
    </w:p>
    <w:p>
      <w:pPr>
        <w:spacing w:before="60" w:after="60"/>
      </w:pPr>
      <w:r>
        <w:t xml:space="preserve"/>
      </w:r>
    </w:p>
    <w:p>
      <w:r>
        <w:br w:type="page"/>
      </w:r>
    </w:p>
    <w:p>
      <w:pPr>
        <w:pStyle w:val="Heading1"/>
        <w:pBdr>
          <w:bottom w:val="single" w:color="2E74B5" w:sz="8" w:space="4"/>
        </w:pBdr>
        <w:spacing w:before="400" w:after="160"/>
      </w:pPr>
      <w:r>
        <w:rPr>
          <w:rFonts w:ascii="Arial" w:cs="Arial" w:eastAsia="Arial" w:hAnsi="Arial"/>
          <w:b/>
          <w:bCs/>
          <w:color w:val="1F3864"/>
          <w:sz w:val="30"/>
          <w:szCs w:val="30"/>
        </w:rPr>
        <w:t xml:space="preserve">3.  Task 2 – Student Digital Portfolio</w:t>
      </w:r>
    </w:p>
    <w:p>
      <w:pPr>
        <w:spacing w:before="60" w:after="120"/>
      </w:pPr>
      <w:r>
        <w:rPr>
          <w:rFonts w:ascii="Arial" w:cs="Arial" w:eastAsia="Arial" w:hAnsi="Arial"/>
          <w:b/>
          <w:bCs/>
          <w:color w:val="1F3864"/>
          <w:sz w:val="20"/>
          <w:szCs w:val="20"/>
        </w:rPr>
        <w:t xml:space="preserve">Module: </w:t>
      </w:r>
      <w:r>
        <w:rPr>
          <w:rFonts w:ascii="Arial" w:cs="Arial" w:eastAsia="Arial" w:hAnsi="Arial"/>
          <w:color w:val="555555"/>
          <w:sz w:val="20"/>
          <w:szCs w:val="20"/>
        </w:rPr>
        <w:t xml:space="preserve">2   |   </w:t>
      </w:r>
      <w:r>
        <w:rPr>
          <w:rFonts w:ascii="Arial" w:cs="Arial" w:eastAsia="Arial" w:hAnsi="Arial"/>
          <w:b/>
          <w:bCs/>
          <w:color w:val="1F3864"/>
          <w:sz w:val="20"/>
          <w:szCs w:val="20"/>
        </w:rPr>
        <w:t xml:space="preserve">Marks: </w:t>
      </w:r>
      <w:r>
        <w:rPr>
          <w:rFonts w:ascii="Arial" w:cs="Arial" w:eastAsia="Arial" w:hAnsi="Arial"/>
          <w:color w:val="555555"/>
          <w:sz w:val="20"/>
          <w:szCs w:val="20"/>
        </w:rPr>
        <w:t xml:space="preserve">20   |   </w:t>
      </w:r>
      <w:r>
        <w:rPr>
          <w:rFonts w:ascii="Arial" w:cs="Arial" w:eastAsia="Arial" w:hAnsi="Arial"/>
          <w:b/>
          <w:bCs/>
          <w:color w:val="1F3864"/>
          <w:sz w:val="20"/>
          <w:szCs w:val="20"/>
        </w:rPr>
        <w:t xml:space="preserve">Platforms: </w:t>
      </w:r>
      <w:r>
        <w:rPr>
          <w:rFonts w:ascii="Arial" w:cs="Arial" w:eastAsia="Arial" w:hAnsi="Arial"/>
          <w:color w:val="555555"/>
          <w:sz w:val="20"/>
          <w:szCs w:val="20"/>
        </w:rPr>
        <w:t xml:space="preserve">GitHub, LinkedIn, Kaggle</w:t>
      </w:r>
    </w:p>
    <w:p>
      <w:pPr>
        <w:spacing w:before="60" w:after="60"/>
      </w:pPr>
      <w:r>
        <w:t xml:space="preserve"/>
      </w:r>
    </w:p>
    <w:p>
      <w:pPr>
        <w:pStyle w:val="Heading2"/>
        <w:spacing w:before="240" w:after="100"/>
      </w:pPr>
      <w:r>
        <w:rPr>
          <w:rFonts w:ascii="Arial" w:cs="Arial" w:eastAsia="Arial" w:hAnsi="Arial"/>
          <w:b/>
          <w:bCs/>
          <w:color w:val="2E74B5"/>
          <w:sz w:val="26"/>
          <w:szCs w:val="26"/>
        </w:rPr>
        <w:t xml:space="preserve">3.1  Platforms Set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40"/>
            </w:tcMar>
          </w:tcPr>
          <w:p>
            <w:r>
              <w:rPr>
                <w:rFonts w:ascii="Arial" w:cs="Arial" w:eastAsia="Arial" w:hAnsi="Arial"/>
                <w:b/>
                <w:bCs/>
                <w:color w:val="FFFFFF"/>
                <w:sz w:val="22"/>
                <w:szCs w:val="22"/>
              </w:rPr>
              <w:t xml:space="preserve">Platform</w:t>
            </w:r>
          </w:p>
        </w:tc>
        <w:tc>
          <w:tcPr>
            <w:tcW w:type="dxa" w:w="6860"/>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40"/>
            </w:tcMar>
          </w:tcPr>
          <w:p>
            <w:r>
              <w:rPr>
                <w:rFonts w:ascii="Arial" w:cs="Arial" w:eastAsia="Arial" w:hAnsi="Arial"/>
                <w:b/>
                <w:bCs/>
                <w:color w:val="FFFFFF"/>
                <w:sz w:val="22"/>
                <w:szCs w:val="22"/>
              </w:rPr>
              <w:t xml:space="preserve">Primary Purpose</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GitHub</w:t>
            </w:r>
          </w:p>
        </w:tc>
        <w:tc>
          <w:tcPr>
            <w:tcW w:type="dxa" w:w="68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Code hosting, version control, and technical project showcase for recruiters</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r>
              <w:rPr>
                <w:rFonts w:ascii="Arial" w:cs="Arial" w:eastAsia="Arial" w:hAnsi="Arial"/>
                <w:b w:val="false"/>
                <w:bCs w:val="false"/>
                <w:color w:val="222222"/>
                <w:sz w:val="22"/>
                <w:szCs w:val="22"/>
              </w:rPr>
              <w:t xml:space="preserve">LinkedIn</w:t>
            </w:r>
          </w:p>
        </w:tc>
        <w:tc>
          <w:tcPr>
            <w:tcW w:type="dxa" w:w="6860"/>
            <w:tcBorders>
              <w:top w:val="single" w:color="AAAAAA" w:sz="1"/>
              <w:left w:val="single" w:color="AAAAAA" w:sz="1"/>
              <w:bottom w:val="single" w:color="AAAAAA" w:sz="1"/>
              <w:right w:val="single" w:color="AAAAAA" w:sz="1"/>
            </w:tcBorders>
            <w:shd w:fill="EBF3FB" w:val="clear"/>
            <w:tcMar>
              <w:top w:type="dxa" w:w="80"/>
              <w:left w:type="dxa" w:w="140"/>
              <w:bottom w:type="dxa" w:w="80"/>
              <w:right w:type="dxa" w:w="140"/>
            </w:tcMar>
          </w:tcPr>
          <w:p>
            <w:r>
              <w:rPr>
                <w:rFonts w:ascii="Arial" w:cs="Arial" w:eastAsia="Arial" w:hAnsi="Arial"/>
                <w:b w:val="false"/>
                <w:bCs w:val="false"/>
                <w:color w:val="222222"/>
                <w:sz w:val="22"/>
                <w:szCs w:val="22"/>
              </w:rPr>
              <w:t xml:space="preserve">Professional networking, internship discovery, and industry connections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Kaggle</w:t>
            </w:r>
          </w:p>
        </w:tc>
        <w:tc>
          <w:tcPr>
            <w:tcW w:type="dxa" w:w="68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Data science practice, ML competitions, and community learning</w:t>
            </w:r>
          </w:p>
        </w:tc>
      </w:tr>
    </w:tbl>
    <w:p>
      <w:pPr>
        <w:spacing w:before="60" w:after="60"/>
      </w:pPr>
      <w:r>
        <w:t xml:space="preserve"/>
      </w:r>
    </w:p>
    <w:p>
      <w:pPr>
        <w:pStyle w:val="Heading2"/>
        <w:spacing w:before="240" w:after="100"/>
      </w:pPr>
      <w:r>
        <w:rPr>
          <w:rFonts w:ascii="Arial" w:cs="Arial" w:eastAsia="Arial" w:hAnsi="Arial"/>
          <w:b/>
          <w:bCs/>
          <w:color w:val="2E74B5"/>
          <w:sz w:val="26"/>
          <w:szCs w:val="26"/>
        </w:rPr>
        <w:t xml:space="preserve">3.2  Reflection</w:t>
      </w:r>
    </w:p>
    <w:p>
      <w:pPr>
        <w:spacing w:before="80" w:after="120" w:line="432"/>
        <w:jc w:val="both"/>
      </w:pPr>
      <w:r>
        <w:rPr>
          <w:rFonts w:ascii="Arial" w:cs="Arial" w:eastAsia="Arial" w:hAnsi="Arial"/>
          <w:color w:val="222222"/>
          <w:sz w:val="24"/>
          <w:szCs w:val="24"/>
        </w:rPr>
        <w:t xml:space="preserve">For Task 2, professional profiles were set up on three key platforms: GitHub, LinkedIn, and Kaggle. Each serves a distinct and important purpose in a CSE student’s academic and professional journey.</w:t>
      </w:r>
    </w:p>
    <w:p>
      <w:pPr>
        <w:spacing w:before="80" w:after="120" w:line="432"/>
        <w:jc w:val="both"/>
      </w:pPr>
      <w:r>
        <w:rPr>
          <w:rFonts w:ascii="Arial" w:cs="Arial" w:eastAsia="Arial" w:hAnsi="Arial"/>
          <w:color w:val="222222"/>
          <w:sz w:val="24"/>
          <w:szCs w:val="24"/>
        </w:rPr>
        <w:t xml:space="preserve">GitHub is a code hosting and version control platform where developers store, share, and collaborate on software projects. As a CSE student, GitHub will serve as the primary platform for showcasing projects built throughout the degree. Recruiters and technology companies routinely review candidates’ GitHub profiles during hiring, making an active and well-maintained profile a critical component of professional identity.</w:t>
      </w:r>
    </w:p>
    <w:p>
      <w:pPr>
        <w:spacing w:before="80" w:after="120" w:line="432"/>
        <w:jc w:val="both"/>
      </w:pPr>
      <w:r>
        <w:rPr>
          <w:rFonts w:ascii="Arial" w:cs="Arial" w:eastAsia="Arial" w:hAnsi="Arial"/>
          <w:color w:val="222222"/>
          <w:sz w:val="24"/>
          <w:szCs w:val="24"/>
        </w:rPr>
        <w:t xml:space="preserve">LinkedIn is the world’s largest professional networking platform. The education section was completed with the current degree programme, institution, and expected graduation year. Over the next four years, the intention is to progressively add skills, certifications, project descriptions, and professional connections to build a compelling profile for internship and placement applications.</w:t>
      </w:r>
    </w:p>
    <w:p>
      <w:pPr>
        <w:spacing w:before="80" w:after="120" w:line="432"/>
        <w:jc w:val="both"/>
      </w:pPr>
      <w:r>
        <w:rPr>
          <w:rFonts w:ascii="Arial" w:cs="Arial" w:eastAsia="Arial" w:hAnsi="Arial"/>
          <w:color w:val="222222"/>
          <w:sz w:val="24"/>
          <w:szCs w:val="24"/>
        </w:rPr>
        <w:t xml:space="preserve">Kaggle is a data science and machine learning platform hosting competitions, public datasets, and community notebooks. As a CSE Core student with interest in AI and ML, Kaggle will be particularly valuable for practising real-world data problems and demonstrating applied ML skills through competition participation.</w:t>
      </w:r>
    </w:p>
    <w:p>
      <w:pPr>
        <w:spacing w:before="60" w:after="60"/>
      </w:pPr>
      <w:r>
        <w:t xml:space="preserve"/>
      </w:r>
    </w:p>
    <w:p>
      <w:r>
        <w:br w:type="page"/>
      </w:r>
    </w:p>
    <w:p>
      <w:pPr>
        <w:pStyle w:val="Heading1"/>
        <w:pBdr>
          <w:bottom w:val="single" w:color="2E74B5" w:sz="8" w:space="4"/>
        </w:pBdr>
        <w:spacing w:before="400" w:after="160"/>
      </w:pPr>
      <w:r>
        <w:rPr>
          <w:rFonts w:ascii="Arial" w:cs="Arial" w:eastAsia="Arial" w:hAnsi="Arial"/>
          <w:b/>
          <w:bCs/>
          <w:color w:val="1F3864"/>
          <w:sz w:val="30"/>
          <w:szCs w:val="30"/>
        </w:rPr>
        <w:t xml:space="preserve">4.  Task 3 – Coding &amp; Collaboration Platforms</w:t>
      </w:r>
    </w:p>
    <w:p>
      <w:pPr>
        <w:spacing w:before="60" w:after="120"/>
      </w:pPr>
      <w:r>
        <w:rPr>
          <w:rFonts w:ascii="Arial" w:cs="Arial" w:eastAsia="Arial" w:hAnsi="Arial"/>
          <w:b/>
          <w:bCs/>
          <w:color w:val="1F3864"/>
          <w:sz w:val="20"/>
          <w:szCs w:val="20"/>
        </w:rPr>
        <w:t xml:space="preserve">Module: </w:t>
      </w:r>
      <w:r>
        <w:rPr>
          <w:rFonts w:ascii="Arial" w:cs="Arial" w:eastAsia="Arial" w:hAnsi="Arial"/>
          <w:color w:val="555555"/>
          <w:sz w:val="20"/>
          <w:szCs w:val="20"/>
        </w:rPr>
        <w:t xml:space="preserve">3   |   </w:t>
      </w:r>
      <w:r>
        <w:rPr>
          <w:rFonts w:ascii="Arial" w:cs="Arial" w:eastAsia="Arial" w:hAnsi="Arial"/>
          <w:b/>
          <w:bCs/>
          <w:color w:val="1F3864"/>
          <w:sz w:val="20"/>
          <w:szCs w:val="20"/>
        </w:rPr>
        <w:t xml:space="preserve">Marks: </w:t>
      </w:r>
      <w:r>
        <w:rPr>
          <w:rFonts w:ascii="Arial" w:cs="Arial" w:eastAsia="Arial" w:hAnsi="Arial"/>
          <w:color w:val="555555"/>
          <w:sz w:val="20"/>
          <w:szCs w:val="20"/>
        </w:rPr>
        <w:t xml:space="preserve">20   |   </w:t>
      </w:r>
      <w:r>
        <w:rPr>
          <w:rFonts w:ascii="Arial" w:cs="Arial" w:eastAsia="Arial" w:hAnsi="Arial"/>
          <w:b/>
          <w:bCs/>
          <w:color w:val="1F3864"/>
          <w:sz w:val="20"/>
          <w:szCs w:val="20"/>
        </w:rPr>
        <w:t xml:space="preserve">Platforms: </w:t>
      </w:r>
      <w:r>
        <w:rPr>
          <w:rFonts w:ascii="Arial" w:cs="Arial" w:eastAsia="Arial" w:hAnsi="Arial"/>
          <w:color w:val="555555"/>
          <w:sz w:val="20"/>
          <w:szCs w:val="20"/>
        </w:rPr>
        <w:t xml:space="preserve">HackerRank, Google Forms</w:t>
      </w:r>
    </w:p>
    <w:p>
      <w:pPr>
        <w:spacing w:before="60" w:after="60"/>
      </w:pPr>
      <w:r>
        <w:t xml:space="preserve"/>
      </w:r>
    </w:p>
    <w:p>
      <w:pPr>
        <w:pStyle w:val="Heading2"/>
        <w:spacing w:before="240" w:after="100"/>
      </w:pPr>
      <w:r>
        <w:rPr>
          <w:rFonts w:ascii="Arial" w:cs="Arial" w:eastAsia="Arial" w:hAnsi="Arial"/>
          <w:b/>
          <w:bCs/>
          <w:color w:val="2E74B5"/>
          <w:sz w:val="26"/>
          <w:szCs w:val="26"/>
        </w:rPr>
        <w:t xml:space="preserve">4.1  Part A – Coding Practice: HackerRank</w:t>
      </w:r>
    </w:p>
    <w:p>
      <w:pPr>
        <w:spacing w:before="80" w:after="120" w:line="432"/>
        <w:jc w:val="both"/>
      </w:pPr>
      <w:r>
        <w:rPr>
          <w:rFonts w:ascii="Arial" w:cs="Arial" w:eastAsia="Arial" w:hAnsi="Arial"/>
          <w:color w:val="222222"/>
          <w:sz w:val="24"/>
          <w:szCs w:val="24"/>
        </w:rPr>
        <w:t xml:space="preserve">An account was created on HackerRank (hackerrank.com) and the Python introductory challenge “Say Hello, World! With Python” was completed in the Python domain. This beginner-level challenge required writing a basic Python print statement, verified against HackerRank’s automated test cases. The submission was accepted and progress towards the Python (Basic) badge was recorded.</w:t>
      </w:r>
    </w:p>
    <w:p>
      <w:pPr>
        <w:spacing w:before="60" w:after="60"/>
      </w:pPr>
      <w:r>
        <w:t xml:space="preserve"/>
      </w:r>
    </w:p>
    <w:p>
      <w:pPr>
        <w:pStyle w:val="Heading2"/>
        <w:spacing w:before="240" w:after="100"/>
      </w:pPr>
      <w:r>
        <w:rPr>
          <w:rFonts w:ascii="Arial" w:cs="Arial" w:eastAsia="Arial" w:hAnsi="Arial"/>
          <w:b/>
          <w:bCs/>
          <w:color w:val="2E74B5"/>
          <w:sz w:val="26"/>
          <w:szCs w:val="26"/>
        </w:rPr>
        <w:t xml:space="preserve">4.2  Part B – Google Forms Collaboration</w:t>
      </w:r>
    </w:p>
    <w:p>
      <w:pPr>
        <w:spacing w:before="80" w:after="120" w:line="432"/>
        <w:jc w:val="both"/>
      </w:pPr>
      <w:r>
        <w:rPr>
          <w:rFonts w:ascii="Arial" w:cs="Arial" w:eastAsia="Arial" w:hAnsi="Arial"/>
          <w:color w:val="222222"/>
          <w:sz w:val="24"/>
          <w:szCs w:val="24"/>
        </w:rPr>
        <w:t xml:space="preserve">A five-question Digital Literacy Awareness Quiz was created using Google Forms (forms.google.com). The quiz includes four multiple choice questions and one short answer question, covering topics such as phishing, strong passwords, HTTPS, professional platforms, and public Wi-Fi safety. The form is linked to a Google Sheet that automatically captures and organises all responses in real time.</w:t>
      </w:r>
    </w:p>
    <w:p>
      <w:pPr>
        <w:spacing w:before="60" w:after="60"/>
      </w:pPr>
      <w:r>
        <w:t xml:space="preserve"/>
      </w:r>
    </w:p>
    <w:p>
      <w:pPr>
        <w:pStyle w:val="Heading2"/>
        <w:spacing w:before="240" w:after="100"/>
      </w:pPr>
      <w:r>
        <w:rPr>
          <w:rFonts w:ascii="Arial" w:cs="Arial" w:eastAsia="Arial" w:hAnsi="Arial"/>
          <w:b/>
          <w:bCs/>
          <w:color w:val="2E74B5"/>
          <w:sz w:val="26"/>
          <w:szCs w:val="26"/>
        </w:rPr>
        <w:t xml:space="preserve">4.3  Reflection</w:t>
      </w:r>
    </w:p>
    <w:p>
      <w:pPr>
        <w:spacing w:before="80" w:after="120" w:line="432"/>
        <w:jc w:val="both"/>
      </w:pPr>
      <w:r>
        <w:rPr>
          <w:rFonts w:ascii="Arial" w:cs="Arial" w:eastAsia="Arial" w:hAnsi="Arial"/>
          <w:color w:val="222222"/>
          <w:sz w:val="24"/>
          <w:szCs w:val="24"/>
        </w:rPr>
        <w:t xml:space="preserve">Working with HackerRank provided a clear understanding of how automated online judges function – the same format used in technical interviews and competitive programming. Familiarity with this platform from the first year is a genuine advantage for future placement preparation.</w:t>
      </w:r>
    </w:p>
    <w:p>
      <w:pPr>
        <w:spacing w:before="80" w:after="120" w:line="432"/>
        <w:jc w:val="both"/>
      </w:pPr>
      <w:r>
        <w:rPr>
          <w:rFonts w:ascii="Arial" w:cs="Arial" w:eastAsia="Arial" w:hAnsi="Arial"/>
          <w:color w:val="222222"/>
          <w:sz w:val="24"/>
          <w:szCs w:val="24"/>
        </w:rPr>
        <w:t xml:space="preserve">Google Forms demonstrated the practical power of cloud-based collaboration. Building the quiz showed how organisations collect structured feedback and manage response data without requiring any local software. The automatic real-time synchronisation with Google Sheets was a particularly impressive demonstration of integrated productivity tools, directly applicable to academic group projects and peer evaluations throughout the degree.</w:t>
      </w:r>
    </w:p>
    <w:p>
      <w:pPr>
        <w:spacing w:before="60" w:after="60"/>
      </w:pPr>
      <w:r>
        <w:t xml:space="preserve"/>
      </w:r>
    </w:p>
    <w:p>
      <w:r>
        <w:br w:type="page"/>
      </w:r>
    </w:p>
    <w:p>
      <w:pPr>
        <w:pStyle w:val="Heading1"/>
        <w:pBdr>
          <w:bottom w:val="single" w:color="2E74B5" w:sz="8" w:space="4"/>
        </w:pBdr>
        <w:spacing w:before="400" w:after="160"/>
      </w:pPr>
      <w:r>
        <w:rPr>
          <w:rFonts w:ascii="Arial" w:cs="Arial" w:eastAsia="Arial" w:hAnsi="Arial"/>
          <w:b/>
          <w:bCs/>
          <w:color w:val="1F3864"/>
          <w:sz w:val="30"/>
          <w:szCs w:val="30"/>
        </w:rPr>
        <w:t xml:space="preserve">5.  Task 4 – Professional Email &amp; Etiquette</w:t>
      </w:r>
    </w:p>
    <w:p>
      <w:pPr>
        <w:spacing w:before="60" w:after="120"/>
      </w:pPr>
      <w:r>
        <w:rPr>
          <w:rFonts w:ascii="Arial" w:cs="Arial" w:eastAsia="Arial" w:hAnsi="Arial"/>
          <w:b/>
          <w:bCs/>
          <w:color w:val="1F3864"/>
          <w:sz w:val="20"/>
          <w:szCs w:val="20"/>
        </w:rPr>
        <w:t xml:space="preserve">Module: </w:t>
      </w:r>
      <w:r>
        <w:rPr>
          <w:rFonts w:ascii="Arial" w:cs="Arial" w:eastAsia="Arial" w:hAnsi="Arial"/>
          <w:color w:val="555555"/>
          <w:sz w:val="20"/>
          <w:szCs w:val="20"/>
        </w:rPr>
        <w:t xml:space="preserve">4   |   </w:t>
      </w:r>
      <w:r>
        <w:rPr>
          <w:rFonts w:ascii="Arial" w:cs="Arial" w:eastAsia="Arial" w:hAnsi="Arial"/>
          <w:b/>
          <w:bCs/>
          <w:color w:val="1F3864"/>
          <w:sz w:val="20"/>
          <w:szCs w:val="20"/>
        </w:rPr>
        <w:t xml:space="preserve">Marks: </w:t>
      </w:r>
      <w:r>
        <w:rPr>
          <w:rFonts w:ascii="Arial" w:cs="Arial" w:eastAsia="Arial" w:hAnsi="Arial"/>
          <w:color w:val="555555"/>
          <w:sz w:val="20"/>
          <w:szCs w:val="20"/>
        </w:rPr>
        <w:t xml:space="preserve">20</w:t>
      </w:r>
    </w:p>
    <w:p>
      <w:pPr>
        <w:spacing w:before="60" w:after="60"/>
      </w:pPr>
      <w:r>
        <w:t xml:space="preserve"/>
      </w:r>
    </w:p>
    <w:p>
      <w:pPr>
        <w:pStyle w:val="Heading2"/>
        <w:spacing w:before="240" w:after="100"/>
      </w:pPr>
      <w:r>
        <w:rPr>
          <w:rFonts w:ascii="Arial" w:cs="Arial" w:eastAsia="Arial" w:hAnsi="Arial"/>
          <w:b/>
          <w:bCs/>
          <w:color w:val="2E74B5"/>
          <w:sz w:val="26"/>
          <w:szCs w:val="26"/>
        </w:rPr>
        <w:t xml:space="preserve">5.1  Part A – Professional Email Drafts</w:t>
      </w:r>
    </w:p>
    <w:p>
      <w:pPr>
        <w:spacing w:before="80" w:after="120" w:line="432"/>
        <w:jc w:val="both"/>
      </w:pPr>
      <w:r>
        <w:rPr>
          <w:rFonts w:ascii="Arial" w:cs="Arial" w:eastAsia="Arial" w:hAnsi="Arial"/>
          <w:color w:val="222222"/>
          <w:sz w:val="24"/>
          <w:szCs w:val="24"/>
        </w:rPr>
        <w:t xml:space="preserve">Two professional emails were drafted as part of this task:</w:t>
      </w:r>
    </w:p>
    <w:p>
      <w:pPr>
        <w:pStyle w:val="ListParagraph"/>
        <w:numPr>
          <w:ilvl w:val="0"/>
          <w:numId w:val="2"/>
        </w:numPr>
        <w:spacing w:before="60" w:after="60" w:line="360"/>
      </w:pPr>
      <w:r>
        <w:rPr>
          <w:rFonts w:ascii="Arial" w:cs="Arial" w:eastAsia="Arial" w:hAnsi="Arial"/>
          <w:color w:val="222222"/>
          <w:sz w:val="24"/>
          <w:szCs w:val="24"/>
        </w:rPr>
        <w:t xml:space="preserve">Email 1 – A formal request to a professor seeking a short extension on an assignment submission deadline, citing illness and proposing a specific revised date with an assurance regarding work already in progress.</w:t>
      </w:r>
    </w:p>
    <w:p>
      <w:pPr>
        <w:pStyle w:val="ListParagraph"/>
        <w:numPr>
          <w:ilvl w:val="0"/>
          <w:numId w:val="2"/>
        </w:numPr>
        <w:spacing w:before="60" w:after="60" w:line="360"/>
      </w:pPr>
      <w:r>
        <w:rPr>
          <w:rFonts w:ascii="Arial" w:cs="Arial" w:eastAsia="Arial" w:hAnsi="Arial"/>
          <w:color w:val="222222"/>
          <w:sz w:val="24"/>
          <w:szCs w:val="24"/>
        </w:rPr>
        <w:t xml:space="preserve">Email 2 – A formal expression of interest in a summer internship opportunity, addressed to an internship coordinator, highlighting academic background, technical skills, and providing a GitHub profile link for reference.</w:t>
      </w:r>
    </w:p>
    <w:p>
      <w:pPr>
        <w:spacing w:before="80" w:after="120" w:line="432"/>
        <w:jc w:val="both"/>
      </w:pPr>
      <w:r>
        <w:rPr>
          <w:rFonts w:ascii="Arial" w:cs="Arial" w:eastAsia="Arial" w:hAnsi="Arial"/>
          <w:color w:val="222222"/>
          <w:sz w:val="24"/>
          <w:szCs w:val="24"/>
        </w:rPr>
        <w:t xml:space="preserve">Both emails adhere to professional standards: a specific subject line, formal salutation, clearly structured body with a single purpose per paragraph, and a complete professional sign-off including full name, branch, registration number, university name, and contact details.</w:t>
      </w:r>
    </w:p>
    <w:p>
      <w:pPr>
        <w:spacing w:before="60" w:after="60"/>
      </w:pPr>
      <w:r>
        <w:t xml:space="preserve"/>
      </w:r>
    </w:p>
    <w:p>
      <w:pPr>
        <w:pStyle w:val="Heading2"/>
        <w:spacing w:before="240" w:after="100"/>
      </w:pPr>
      <w:r>
        <w:rPr>
          <w:rFonts w:ascii="Arial" w:cs="Arial" w:eastAsia="Arial" w:hAnsi="Arial"/>
          <w:b/>
          <w:bCs/>
          <w:color w:val="2E74B5"/>
          <w:sz w:val="26"/>
          <w:szCs w:val="26"/>
        </w:rPr>
        <w:t xml:space="preserve">5.2  Part B – Social Media Do’s and Don’ts</w:t>
      </w:r>
    </w:p>
    <w:p>
      <w:pPr>
        <w:spacing w:before="80" w:after="120" w:line="432"/>
        <w:jc w:val="both"/>
      </w:pPr>
      <w:r>
        <w:rPr>
          <w:rFonts w:ascii="Arial" w:cs="Arial" w:eastAsia="Arial" w:hAnsi="Arial"/>
          <w:color w:val="222222"/>
          <w:sz w:val="24"/>
          <w:szCs w:val="24"/>
        </w:rPr>
        <w:t xml:space="preserve">A checklist of seven Do’s and seven Don’ts was created for responsible social media use as a college student, covering: privacy settings, responsible content sharing, avoiding misinformation, protecting personal data, logging out from shared devices, and maintaining professional conduct across all platforms.</w:t>
      </w:r>
    </w:p>
    <w:p>
      <w:pPr>
        <w:spacing w:before="60" w:after="60"/>
      </w:pPr>
      <w:r>
        <w:t xml:space="preserve"/>
      </w:r>
    </w:p>
    <w:p>
      <w:pPr>
        <w:pStyle w:val="Heading2"/>
        <w:spacing w:before="240" w:after="100"/>
      </w:pPr>
      <w:r>
        <w:rPr>
          <w:rFonts w:ascii="Arial" w:cs="Arial" w:eastAsia="Arial" w:hAnsi="Arial"/>
          <w:b/>
          <w:bCs/>
          <w:color w:val="2E74B5"/>
          <w:sz w:val="26"/>
          <w:szCs w:val="26"/>
        </w:rPr>
        <w:t xml:space="preserve">5.3  Reflection</w:t>
      </w:r>
    </w:p>
    <w:p>
      <w:pPr>
        <w:spacing w:before="80" w:after="120" w:line="432"/>
        <w:jc w:val="both"/>
      </w:pPr>
      <w:r>
        <w:rPr>
          <w:rFonts w:ascii="Arial" w:cs="Arial" w:eastAsia="Arial" w:hAnsi="Arial"/>
          <w:color w:val="222222"/>
          <w:sz w:val="24"/>
          <w:szCs w:val="24"/>
        </w:rPr>
        <w:t xml:space="preserve">Poor digital communication can have serious and lasting real-world consequences. A documented example is the case of a UK university student who lost a graduate job offer after the employer discovered offensive posts on the student’s Twitter account during a routine background check.</w:t>
      </w:r>
    </w:p>
    <w:p>
      <w:pPr>
        <w:spacing w:before="80" w:after="120" w:line="432"/>
        <w:jc w:val="both"/>
      </w:pPr>
      <w:r>
        <w:rPr>
          <w:rFonts w:ascii="Arial" w:cs="Arial" w:eastAsia="Arial" w:hAnsi="Arial"/>
          <w:color w:val="222222"/>
          <w:sz w:val="24"/>
          <w:szCs w:val="24"/>
        </w:rPr>
        <w:t xml:space="preserve">This situation could have been avoided by periodically reviewing and removing inappropriate content, applying stricter privacy settings, and recognising the permanent and public nature of online posts. This case reinforces the principle that professional digital behaviour must begin from the very first year of college – not as an afterthought during job applications.</w:t>
      </w:r>
    </w:p>
    <w:p>
      <w:pPr>
        <w:spacing w:before="60" w:after="60"/>
      </w:pPr>
      <w:r>
        <w:t xml:space="preserve"/>
      </w:r>
    </w:p>
    <w:p>
      <w:r>
        <w:br w:type="page"/>
      </w:r>
    </w:p>
    <w:p>
      <w:pPr>
        <w:pStyle w:val="Heading1"/>
        <w:pBdr>
          <w:bottom w:val="single" w:color="2E74B5" w:sz="8" w:space="4"/>
        </w:pBdr>
        <w:spacing w:before="400" w:after="160"/>
      </w:pPr>
      <w:r>
        <w:rPr>
          <w:rFonts w:ascii="Arial" w:cs="Arial" w:eastAsia="Arial" w:hAnsi="Arial"/>
          <w:b/>
          <w:bCs/>
          <w:color w:val="1F3864"/>
          <w:sz w:val="30"/>
          <w:szCs w:val="30"/>
        </w:rPr>
        <w:t xml:space="preserve">6.  Task 5 – Cybercrime Awareness</w:t>
      </w:r>
    </w:p>
    <w:p>
      <w:pPr>
        <w:spacing w:before="60" w:after="120"/>
      </w:pPr>
      <w:r>
        <w:rPr>
          <w:rFonts w:ascii="Arial" w:cs="Arial" w:eastAsia="Arial" w:hAnsi="Arial"/>
          <w:b/>
          <w:bCs/>
          <w:color w:val="1F3864"/>
          <w:sz w:val="20"/>
          <w:szCs w:val="20"/>
        </w:rPr>
        <w:t xml:space="preserve">Module: </w:t>
      </w:r>
      <w:r>
        <w:rPr>
          <w:rFonts w:ascii="Arial" w:cs="Arial" w:eastAsia="Arial" w:hAnsi="Arial"/>
          <w:color w:val="555555"/>
          <w:sz w:val="20"/>
          <w:szCs w:val="20"/>
        </w:rPr>
        <w:t xml:space="preserve">5   |   </w:t>
      </w:r>
      <w:r>
        <w:rPr>
          <w:rFonts w:ascii="Arial" w:cs="Arial" w:eastAsia="Arial" w:hAnsi="Arial"/>
          <w:b/>
          <w:bCs/>
          <w:color w:val="1F3864"/>
          <w:sz w:val="20"/>
          <w:szCs w:val="20"/>
        </w:rPr>
        <w:t xml:space="preserve">Marks: </w:t>
      </w:r>
      <w:r>
        <w:rPr>
          <w:rFonts w:ascii="Arial" w:cs="Arial" w:eastAsia="Arial" w:hAnsi="Arial"/>
          <w:color w:val="555555"/>
          <w:sz w:val="20"/>
          <w:szCs w:val="20"/>
        </w:rPr>
        <w:t xml:space="preserve">20   |   </w:t>
      </w:r>
      <w:r>
        <w:rPr>
          <w:rFonts w:ascii="Arial" w:cs="Arial" w:eastAsia="Arial" w:hAnsi="Arial"/>
          <w:b/>
          <w:bCs/>
          <w:color w:val="1F3864"/>
          <w:sz w:val="20"/>
          <w:szCs w:val="20"/>
        </w:rPr>
        <w:t xml:space="preserve">Topic: </w:t>
      </w:r>
      <w:r>
        <w:rPr>
          <w:rFonts w:ascii="Arial" w:cs="Arial" w:eastAsia="Arial" w:hAnsi="Arial"/>
          <w:color w:val="555555"/>
          <w:sz w:val="20"/>
          <w:szCs w:val="20"/>
        </w:rPr>
        <w:t xml:space="preserve">UPI / Online Payment Fraud</w:t>
      </w:r>
    </w:p>
    <w:p>
      <w:pPr>
        <w:spacing w:before="60" w:after="60"/>
      </w:pPr>
      <w:r>
        <w:t xml:space="preserve"/>
      </w:r>
    </w:p>
    <w:p>
      <w:pPr>
        <w:pStyle w:val="Heading2"/>
        <w:spacing w:before="240" w:after="100"/>
      </w:pPr>
      <w:r>
        <w:rPr>
          <w:rFonts w:ascii="Arial" w:cs="Arial" w:eastAsia="Arial" w:hAnsi="Arial"/>
          <w:b/>
          <w:bCs/>
          <w:color w:val="2E74B5"/>
          <w:sz w:val="26"/>
          <w:szCs w:val="26"/>
        </w:rPr>
        <w:t xml:space="preserve">6.1  Case Study: UPI / Online Payment Fraud</w:t>
      </w:r>
    </w:p>
    <w:p>
      <w:pPr>
        <w:spacing w:before="80" w:after="120" w:line="432"/>
        <w:jc w:val="both"/>
      </w:pPr>
      <w:r>
        <w:rPr>
          <w:rFonts w:ascii="Arial" w:cs="Arial" w:eastAsia="Arial" w:hAnsi="Arial"/>
          <w:color w:val="222222"/>
          <w:sz w:val="24"/>
          <w:szCs w:val="24"/>
        </w:rPr>
        <w:t xml:space="preserve">UPI (Unified Payments Interface) payment fraud is one of the most prevalent cybercrimes targeting college students and young adults in India. The case study presents a realistic scenario in which a first-year student named Riya listed her laptop for sale on an online marketplace and was targeted by a fraudster posing as an army officer.</w:t>
      </w:r>
    </w:p>
    <w:p>
      <w:pPr>
        <w:spacing w:before="80" w:after="120" w:line="432"/>
        <w:jc w:val="both"/>
      </w:pPr>
      <w:r>
        <w:rPr>
          <w:rFonts w:ascii="Arial" w:cs="Arial" w:eastAsia="Arial" w:hAnsi="Arial"/>
          <w:color w:val="222222"/>
          <w:sz w:val="24"/>
          <w:szCs w:val="24"/>
        </w:rPr>
        <w:t xml:space="preserve">The fraudster established trust by sending a fabricated “payment successful” screenshot, then sent Riya a UPI collect request – a request to deduct money from her account, not send money to her – and deceived her into entering her UPI PIN to supposedly “accept” the payment. Instead, Rs. 15,000 was immediately deducted. The fraudster then blocked all contact.</w:t>
      </w:r>
    </w:p>
    <w:p>
      <w:pPr>
        <w:spacing w:before="80" w:after="120" w:line="432"/>
        <w:jc w:val="both"/>
      </w:pPr>
      <w:r>
        <w:rPr>
          <w:rFonts w:ascii="Arial" w:cs="Arial" w:eastAsia="Arial" w:hAnsi="Arial"/>
          <w:color w:val="222222"/>
          <w:sz w:val="24"/>
          <w:szCs w:val="24"/>
        </w:rPr>
        <w:t xml:space="preserve">This fraud targets individuals unfamiliar with the distinction between a UPI payment (money received) and a UPI collect request (money taken). The key rule: a UPI PIN is only required when sending money. Entering a PIN to receive money is always a scam.</w:t>
      </w:r>
    </w:p>
    <w:p>
      <w:pPr>
        <w:spacing w:before="60" w:after="60"/>
      </w:pPr>
      <w:r>
        <w:t xml:space="preserve"/>
      </w:r>
    </w:p>
    <w:p>
      <w:pPr>
        <w:pStyle w:val="Heading2"/>
        <w:spacing w:before="240" w:after="100"/>
      </w:pPr>
      <w:r>
        <w:rPr>
          <w:rFonts w:ascii="Arial" w:cs="Arial" w:eastAsia="Arial" w:hAnsi="Arial"/>
          <w:b/>
          <w:bCs/>
          <w:color w:val="2E74B5"/>
          <w:sz w:val="26"/>
          <w:szCs w:val="26"/>
        </w:rPr>
        <w:t xml:space="preserve">6.2  Prevention Checklist Summary</w:t>
      </w:r>
    </w:p>
    <w:p>
      <w:pPr>
        <w:spacing w:before="80" w:after="120" w:line="432"/>
        <w:jc w:val="both"/>
      </w:pPr>
      <w:r>
        <w:rPr>
          <w:rFonts w:ascii="Arial" w:cs="Arial" w:eastAsia="Arial" w:hAnsi="Arial"/>
          <w:color w:val="222222"/>
          <w:sz w:val="24"/>
          <w:szCs w:val="24"/>
        </w:rPr>
        <w:t xml:space="preserve">The full checklist contains ten actionable prevention tips for Indian college students, including:</w:t>
      </w:r>
    </w:p>
    <w:p>
      <w:pPr>
        <w:pStyle w:val="ListParagraph"/>
        <w:numPr>
          <w:ilvl w:val="0"/>
          <w:numId w:val="2"/>
        </w:numPr>
        <w:spacing w:before="60" w:after="60" w:line="360"/>
      </w:pPr>
      <w:r>
        <w:rPr>
          <w:rFonts w:ascii="Arial" w:cs="Arial" w:eastAsia="Arial" w:hAnsi="Arial"/>
          <w:color w:val="222222"/>
          <w:sz w:val="24"/>
          <w:szCs w:val="24"/>
        </w:rPr>
        <w:t xml:space="preserve">Never enter a UPI PIN to ‘receive’ money – any such request is a scam without exception.</w:t>
      </w:r>
    </w:p>
    <w:p>
      <w:pPr>
        <w:pStyle w:val="ListParagraph"/>
        <w:numPr>
          <w:ilvl w:val="0"/>
          <w:numId w:val="2"/>
        </w:numPr>
        <w:spacing w:before="60" w:after="60" w:line="360"/>
      </w:pPr>
      <w:r>
        <w:rPr>
          <w:rFonts w:ascii="Arial" w:cs="Arial" w:eastAsia="Arial" w:hAnsi="Arial"/>
          <w:color w:val="222222"/>
          <w:sz w:val="24"/>
          <w:szCs w:val="24"/>
        </w:rPr>
        <w:t xml:space="preserve">Verify the recipient UPI ID and displayed name carefully before every transaction.</w:t>
      </w:r>
    </w:p>
    <w:p>
      <w:pPr>
        <w:pStyle w:val="ListParagraph"/>
        <w:numPr>
          <w:ilvl w:val="0"/>
          <w:numId w:val="2"/>
        </w:numPr>
        <w:spacing w:before="60" w:after="60" w:line="360"/>
      </w:pPr>
      <w:r>
        <w:rPr>
          <w:rFonts w:ascii="Arial" w:cs="Arial" w:eastAsia="Arial" w:hAnsi="Arial"/>
          <w:color w:val="222222"/>
          <w:sz w:val="24"/>
          <w:szCs w:val="24"/>
        </w:rPr>
        <w:t xml:space="preserve">Use strong, unique passwords and enable Two-Factor Authentication (2FA) on all accounts.</w:t>
      </w:r>
    </w:p>
    <w:p>
      <w:pPr>
        <w:pStyle w:val="ListParagraph"/>
        <w:numPr>
          <w:ilvl w:val="0"/>
          <w:numId w:val="2"/>
        </w:numPr>
        <w:spacing w:before="60" w:after="60" w:line="360"/>
      </w:pPr>
      <w:r>
        <w:rPr>
          <w:rFonts w:ascii="Arial" w:cs="Arial" w:eastAsia="Arial" w:hAnsi="Arial"/>
          <w:color w:val="222222"/>
          <w:sz w:val="24"/>
          <w:szCs w:val="24"/>
        </w:rPr>
        <w:t xml:space="preserve">Never click suspicious links received via SMS, WhatsApp, email, or social media.</w:t>
      </w:r>
    </w:p>
    <w:p>
      <w:pPr>
        <w:pStyle w:val="ListParagraph"/>
        <w:numPr>
          <w:ilvl w:val="0"/>
          <w:numId w:val="2"/>
        </w:numPr>
        <w:spacing w:before="60" w:after="60" w:line="360"/>
      </w:pPr>
      <w:r>
        <w:rPr>
          <w:rFonts w:ascii="Arial" w:cs="Arial" w:eastAsia="Arial" w:hAnsi="Arial"/>
          <w:color w:val="222222"/>
          <w:sz w:val="24"/>
          <w:szCs w:val="24"/>
        </w:rPr>
        <w:t xml:space="preserve">Report financial fraud immediately: call Helpline 1930 and file a complaint at cybercrime.gov.in.</w:t>
      </w:r>
    </w:p>
    <w:p>
      <w:pPr>
        <w:spacing w:before="60" w:after="60"/>
      </w:pPr>
      <w:r>
        <w:t xml:space="preserve"/>
      </w:r>
    </w:p>
    <w:p>
      <w:pPr>
        <w:pStyle w:val="Heading2"/>
        <w:spacing w:before="240" w:after="100"/>
      </w:pPr>
      <w:r>
        <w:rPr>
          <w:rFonts w:ascii="Arial" w:cs="Arial" w:eastAsia="Arial" w:hAnsi="Arial"/>
          <w:b/>
          <w:bCs/>
          <w:color w:val="2E74B5"/>
          <w:sz w:val="26"/>
          <w:szCs w:val="26"/>
        </w:rPr>
        <w:t xml:space="preserve">6.3  Reflection</w:t>
      </w:r>
    </w:p>
    <w:p>
      <w:pPr>
        <w:spacing w:before="80" w:after="120" w:line="432"/>
        <w:jc w:val="both"/>
      </w:pPr>
      <w:r>
        <w:rPr>
          <w:rFonts w:ascii="Arial" w:cs="Arial" w:eastAsia="Arial" w:hAnsi="Arial"/>
          <w:color w:val="222222"/>
          <w:sz w:val="24"/>
          <w:szCs w:val="24"/>
        </w:rPr>
        <w:t xml:space="preserve">The most surprising discovery was how technically unsophisticated most UPI frauds are. It had been assumed that cybercriminals used complex hacking techniques. In reality, the vast majority rely entirely on social engineering – manipulating the victim’s emotions such as urgency, trust, or greed – rather than any technical exploit. The technology is not the weakness; human psychology is the primary target.</w:t>
      </w:r>
    </w:p>
    <w:p>
      <w:pPr>
        <w:spacing w:before="80" w:after="120" w:line="432"/>
        <w:jc w:val="both"/>
      </w:pPr>
      <w:r>
        <w:rPr>
          <w:rFonts w:ascii="Arial" w:cs="Arial" w:eastAsia="Arial" w:hAnsi="Arial"/>
          <w:color w:val="222222"/>
          <w:sz w:val="24"/>
          <w:szCs w:val="24"/>
        </w:rPr>
        <w:t xml:space="preserve">As a direct result of this research, the personal habit of thoroughly verifying any buyer or seller’s identity before proceeding with an online transaction will be adopted. The findings on UPI collect request scams will also be actively shared with family members, who are regular UPI users, to extend the benefit of this awareness.</w:t>
      </w:r>
    </w:p>
    <w:p>
      <w:pPr>
        <w:spacing w:before="60" w:after="60"/>
      </w:pPr>
      <w:r>
        <w:t xml:space="preserve"/>
      </w:r>
    </w:p>
    <w:p>
      <w:r>
        <w:br w:type="page"/>
      </w:r>
    </w:p>
    <w:p>
      <w:pPr>
        <w:pStyle w:val="Heading1"/>
        <w:pBdr>
          <w:bottom w:val="single" w:color="2E74B5" w:sz="8" w:space="4"/>
        </w:pBdr>
        <w:spacing w:before="400" w:after="160"/>
      </w:pPr>
      <w:r>
        <w:rPr>
          <w:rFonts w:ascii="Arial" w:cs="Arial" w:eastAsia="Arial" w:hAnsi="Arial"/>
          <w:b/>
          <w:bCs/>
          <w:color w:val="1F3864"/>
          <w:sz w:val="30"/>
          <w:szCs w:val="30"/>
        </w:rPr>
        <w:t xml:space="preserve">7.  Conclusion</w:t>
      </w:r>
    </w:p>
    <w:p>
      <w:pPr>
        <w:spacing w:before="80" w:after="120" w:line="432"/>
        <w:jc w:val="both"/>
      </w:pPr>
      <w:r>
        <w:rPr>
          <w:rFonts w:ascii="Arial" w:cs="Arial" w:eastAsia="Arial" w:hAnsi="Arial"/>
          <w:color w:val="222222"/>
          <w:sz w:val="24"/>
          <w:szCs w:val="24"/>
        </w:rPr>
        <w:t xml:space="preserve">Completing the CSE0001 Digital Literacy project has been a genuinely educational and practically valuable experience. At the outset, the understanding of digital literacy was largely limited to basic device usage. Through these five structured tasks, a significantly broader and more actionable understanding has been developed of what it means to be digitally literate in professional, academic, and social contexts.</w:t>
      </w:r>
    </w:p>
    <w:p>
      <w:pPr>
        <w:spacing w:before="80" w:after="120" w:line="432"/>
        <w:jc w:val="both"/>
      </w:pPr>
      <w:r>
        <w:rPr>
          <w:rFonts w:ascii="Arial" w:cs="Arial" w:eastAsia="Arial" w:hAnsi="Arial"/>
          <w:color w:val="222222"/>
          <w:sz w:val="24"/>
          <w:szCs w:val="24"/>
        </w:rPr>
        <w:t xml:space="preserve">The portfolio now includes a professionally designed infographic, active profiles on GitHub, LinkedIn, and Kaggle, a completed coding challenge on HackerRank, a live Google Form quiz, two professionally drafted emails, a social media etiquette checklist, a detailed cybercrime case study, and a practical online safety prevention guide.</w:t>
      </w:r>
    </w:p>
    <w:p>
      <w:pPr>
        <w:spacing w:before="80" w:after="120" w:line="432"/>
        <w:jc w:val="both"/>
      </w:pPr>
      <w:r>
        <w:rPr>
          <w:rFonts w:ascii="Arial" w:cs="Arial" w:eastAsia="Arial" w:hAnsi="Arial"/>
          <w:color w:val="222222"/>
          <w:sz w:val="24"/>
          <w:szCs w:val="24"/>
        </w:rPr>
        <w:t xml:space="preserve">Most importantly, these tasks have cultivated the habit of thinking critically and responsibly before acting in any digital environment – whether evaluating a link before clicking it, considering the long-term implications of a social media post, or verifying a UPI transaction before authorising it. These competencies form a strong foundation for four years at VIT Bhopal University and a future career in technology.</w:t>
      </w:r>
    </w:p>
    <w:p>
      <w:pPr>
        <w:spacing w:before="60" w:after="60"/>
      </w:pPr>
      <w:r>
        <w:t xml:space="preserve"/>
      </w:r>
    </w:p>
    <w:p>
      <w:r>
        <w:br w:type="page"/>
      </w:r>
    </w:p>
    <w:p>
      <w:pPr>
        <w:pStyle w:val="Heading1"/>
        <w:pBdr>
          <w:bottom w:val="single" w:color="2E74B5" w:sz="8" w:space="4"/>
        </w:pBdr>
        <w:spacing w:before="400" w:after="160"/>
      </w:pPr>
      <w:r>
        <w:rPr>
          <w:rFonts w:ascii="Arial" w:cs="Arial" w:eastAsia="Arial" w:hAnsi="Arial"/>
          <w:b/>
          <w:bCs/>
          <w:color w:val="1F3864"/>
          <w:sz w:val="30"/>
          <w:szCs w:val="30"/>
        </w:rPr>
        <w:t xml:space="preserve">8.  References</w:t>
      </w:r>
    </w:p>
    <w:p>
      <w:pPr>
        <w:pStyle w:val="ListParagraph"/>
        <w:numPr>
          <w:ilvl w:val="0"/>
          <w:numId w:val="2"/>
        </w:numPr>
        <w:spacing w:before="60" w:after="60" w:line="360"/>
      </w:pPr>
      <w:r>
        <w:rPr>
          <w:rFonts w:ascii="Arial" w:cs="Arial" w:eastAsia="Arial" w:hAnsi="Arial"/>
          <w:color w:val="222222"/>
          <w:sz w:val="24"/>
          <w:szCs w:val="24"/>
        </w:rPr>
        <w:t xml:space="preserve">Reserve Bank of India – Consumer Awareness Campaign: https://www.rbi.org.in</w:t>
      </w:r>
    </w:p>
    <w:p>
      <w:pPr>
        <w:pStyle w:val="ListParagraph"/>
        <w:numPr>
          <w:ilvl w:val="0"/>
          <w:numId w:val="2"/>
        </w:numPr>
        <w:spacing w:before="60" w:after="60" w:line="360"/>
      </w:pPr>
      <w:r>
        <w:rPr>
          <w:rFonts w:ascii="Arial" w:cs="Arial" w:eastAsia="Arial" w:hAnsi="Arial"/>
          <w:color w:val="222222"/>
          <w:sz w:val="24"/>
          <w:szCs w:val="24"/>
        </w:rPr>
        <w:t xml:space="preserve">National Cyber Crime Reporting Portal: https://cybercrime.gov.in</w:t>
      </w:r>
    </w:p>
    <w:p>
      <w:pPr>
        <w:pStyle w:val="ListParagraph"/>
        <w:numPr>
          <w:ilvl w:val="0"/>
          <w:numId w:val="2"/>
        </w:numPr>
        <w:spacing w:before="60" w:after="60" w:line="360"/>
      </w:pPr>
      <w:r>
        <w:rPr>
          <w:rFonts w:ascii="Arial" w:cs="Arial" w:eastAsia="Arial" w:hAnsi="Arial"/>
          <w:color w:val="222222"/>
          <w:sz w:val="24"/>
          <w:szCs w:val="24"/>
        </w:rPr>
        <w:t xml:space="preserve">Canva – Graphic Design Tool: https://www.canva.com</w:t>
      </w:r>
    </w:p>
    <w:p>
      <w:pPr>
        <w:pStyle w:val="ListParagraph"/>
        <w:numPr>
          <w:ilvl w:val="0"/>
          <w:numId w:val="2"/>
        </w:numPr>
        <w:spacing w:before="60" w:after="60" w:line="360"/>
      </w:pPr>
      <w:r>
        <w:rPr>
          <w:rFonts w:ascii="Arial" w:cs="Arial" w:eastAsia="Arial" w:hAnsi="Arial"/>
          <w:color w:val="222222"/>
          <w:sz w:val="24"/>
          <w:szCs w:val="24"/>
        </w:rPr>
        <w:t xml:space="preserve">HackerRank – Coding Practice Platform: https://www.hackerrank.com</w:t>
      </w:r>
    </w:p>
    <w:p>
      <w:pPr>
        <w:pStyle w:val="ListParagraph"/>
        <w:numPr>
          <w:ilvl w:val="0"/>
          <w:numId w:val="2"/>
        </w:numPr>
        <w:spacing w:before="60" w:after="60" w:line="360"/>
      </w:pPr>
      <w:r>
        <w:rPr>
          <w:rFonts w:ascii="Arial" w:cs="Arial" w:eastAsia="Arial" w:hAnsi="Arial"/>
          <w:color w:val="222222"/>
          <w:sz w:val="24"/>
          <w:szCs w:val="24"/>
        </w:rPr>
        <w:t xml:space="preserve">GitHub Documentation: https://docs.github.com</w:t>
      </w:r>
    </w:p>
    <w:p>
      <w:pPr>
        <w:pStyle w:val="ListParagraph"/>
        <w:numPr>
          <w:ilvl w:val="0"/>
          <w:numId w:val="2"/>
        </w:numPr>
        <w:spacing w:before="60" w:after="60" w:line="360"/>
      </w:pPr>
      <w:r>
        <w:rPr>
          <w:rFonts w:ascii="Arial" w:cs="Arial" w:eastAsia="Arial" w:hAnsi="Arial"/>
          <w:color w:val="222222"/>
          <w:sz w:val="24"/>
          <w:szCs w:val="24"/>
        </w:rPr>
        <w:t xml:space="preserve">LinkedIn Help Centre: https://www.linkedin.com/help</w:t>
      </w:r>
    </w:p>
    <w:p>
      <w:pPr>
        <w:pStyle w:val="ListParagraph"/>
        <w:numPr>
          <w:ilvl w:val="0"/>
          <w:numId w:val="2"/>
        </w:numPr>
        <w:spacing w:before="60" w:after="60" w:line="360"/>
      </w:pPr>
      <w:r>
        <w:rPr>
          <w:rFonts w:ascii="Arial" w:cs="Arial" w:eastAsia="Arial" w:hAnsi="Arial"/>
          <w:color w:val="222222"/>
          <w:sz w:val="24"/>
          <w:szCs w:val="24"/>
        </w:rPr>
        <w:t xml:space="preserve">Google Forms Help: https://support.google.com/docs/topic/6063592</w:t>
      </w:r>
    </w:p>
    <w:p>
      <w:pPr>
        <w:pStyle w:val="ListParagraph"/>
        <w:numPr>
          <w:ilvl w:val="0"/>
          <w:numId w:val="2"/>
        </w:numPr>
        <w:spacing w:before="60" w:after="60" w:line="360"/>
      </w:pPr>
      <w:r>
        <w:rPr>
          <w:rFonts w:ascii="Arial" w:cs="Arial" w:eastAsia="Arial" w:hAnsi="Arial"/>
          <w:color w:val="222222"/>
          <w:sz w:val="24"/>
          <w:szCs w:val="24"/>
        </w:rPr>
        <w:t xml:space="preserve">Kaggle – Data Science &amp; ML Platform: https://www.kaggle.com</w:t>
      </w:r>
    </w:p>
    <w:sectPr>
      <w:headerReference w:type="default" r:id="rId6"/>
      <w:footerReference w:type="default" r:id="rId7"/>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4B5" w:sz="6" w:space="4"/>
      </w:pBdr>
      <w:spacing w:before="80"/>
      <w:jc w:val="center"/>
    </w:pPr>
    <w:r>
      <w:rPr>
        <w:rFonts w:ascii="Arial" w:cs="Arial" w:eastAsia="Arial" w:hAnsi="Arial"/>
        <w:color w:val="777777"/>
        <w:sz w:val="18"/>
        <w:szCs w:val="18"/>
      </w:rPr>
      <w:t xml:space="preserve">Digital Literacy Portfolio  │  VIT Bhopal University  │  Page </w:t>
    </w:r>
    <w:r>
      <w:rPr>
        <w:rFonts w:ascii="Arial" w:cs="Arial" w:eastAsia="Arial" w:hAnsi="Arial"/>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6" w:space="4"/>
      </w:pBdr>
      <w:spacing w:after="80"/>
    </w:pPr>
    <w:r>
      <w:rPr>
        <w:rFonts w:ascii="Arial" w:cs="Arial" w:eastAsia="Arial" w:hAnsi="Arial"/>
        <w:color w:val="777777"/>
        <w:sz w:val="18"/>
        <w:szCs w:val="18"/>
      </w:rPr>
      <w:t xml:space="preserve">CSE0001 – Digital Literacy  │  VIT Bhopal University  │  Khyati Singh  │  B.Tech CSE Core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F3864"/>
      <w:sz w:val="30"/>
      <w:szCs w:val="30"/>
    </w:rPr>
  </w:style>
  <w:style w:type="paragraph" w:styleId="Heading2">
    <w:name w:val="Heading 2"/>
    <w:basedOn w:val="Normal"/>
    <w:next w:val="Normal"/>
    <w:qFormat/>
    <w:pPr>
      <w:spacing w:before="240" w:after="100"/>
      <w:outlineLvl w:val="1"/>
    </w:pPr>
    <w:rPr>
      <w:rFonts w:ascii="Arial" w:cs="Arial" w:eastAsia="Arial" w:hAnsi="Arial"/>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2026-03-29T09:37:43.480Z</dcterms:created>
  <dcterms:modified xsi:type="dcterms:W3CDTF">2026-03-29T09:37:43.481Z</dcterms:modified>
</cp:coreProperties>
</file>

<file path=docProps/custom.xml><?xml version="1.0" encoding="utf-8"?>
<Properties xmlns="http://schemas.openxmlformats.org/officeDocument/2006/custom-properties" xmlns:vt="http://schemas.openxmlformats.org/officeDocument/2006/docPropsVTypes"/>
</file>