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929"/>
        <w:jc w:val="center"/>
        <w:rPr>
          <w:rFonts w:ascii="Times New Roman" w:hAnsi="Times New Roman" w:cs="Times New Roman"/>
          <w:bCs/>
          <w:sz w:val="24"/>
          <w:lang w:bidi="en-US"/>
        </w:rPr>
      </w:pPr>
      <w:r>
        <w:rPr>
          <w:rFonts w:ascii="Times New Roman" w:hAnsi="Times New Roman" w:cs="Times New Roman"/>
          <w:bCs/>
          <w:sz w:val="24"/>
          <w:lang w:bidi="en-US"/>
        </w:rPr>
        <w:t xml:space="preserve">Форма фундаментальных и прикладных научных исследований (работ) </w:t>
      </w:r>
      <w:r>
        <w:rPr>
          <w:rFonts w:ascii="Times New Roman" w:hAnsi="Times New Roman" w:cs="Times New Roman"/>
          <w:bCs/>
          <w:sz w:val="24"/>
          <w:lang w:bidi="en-US"/>
        </w:rPr>
      </w:r>
      <w:r>
        <w:rPr>
          <w:rFonts w:ascii="Times New Roman" w:hAnsi="Times New Roman" w:cs="Times New Roman"/>
          <w:bCs/>
          <w:sz w:val="24"/>
          <w:lang w:bidi="en-US"/>
        </w:rPr>
      </w:r>
    </w:p>
    <w:p>
      <w:pPr>
        <w:pStyle w:val="929"/>
        <w:jc w:val="center"/>
        <w:rPr>
          <w:rFonts w:ascii="Times New Roman" w:hAnsi="Times New Roman" w:cs="Times New Roman"/>
        </w:rPr>
      </w:pPr>
      <w:r>
        <w:rPr>
          <w:rFonts w:ascii="Times New Roman" w:hAnsi="Times New Roman" w:cs="Times New Roman"/>
          <w:bCs/>
          <w:sz w:val="24"/>
          <w:lang w:bidi="en-US"/>
        </w:rPr>
        <w:t xml:space="preserve">для сферы здравоохранения Волгоградской области</w:t>
      </w:r>
      <w:r>
        <w:rPr>
          <w:rFonts w:ascii="Times New Roman" w:hAnsi="Times New Roman" w:cs="Times New Roman"/>
          <w:sz w:val="24"/>
        </w:rPr>
        <w:t xml:space="preserve">, представляемые на конкурс                      на п</w:t>
      </w:r>
      <w:r>
        <w:rPr>
          <w:rFonts w:ascii="Times New Roman" w:hAnsi="Times New Roman" w:eastAsia="Times New Roman" w:cs="Times New Roman"/>
          <w:color w:val="000000"/>
          <w:sz w:val="24"/>
        </w:rPr>
        <w:t xml:space="preserve">редоставления </w:t>
      </w:r>
      <w:r>
        <w:rPr>
          <w:rFonts w:ascii="Times New Roman" w:hAnsi="Times New Roman" w:eastAsia="Times New Roman" w:cs="Times New Roman"/>
          <w:bCs/>
          <w:color w:val="000000"/>
          <w:spacing w:val="-3"/>
          <w:sz w:val="24"/>
        </w:rPr>
        <w:t xml:space="preserve">грантов в форме субсидий федеральным государственным образовательным организациям высшего образования</w:t>
      </w:r>
      <w:r>
        <w:rPr>
          <w:rFonts w:ascii="Times New Roman" w:hAnsi="Times New Roman" w:cs="Times New Roman"/>
        </w:rPr>
      </w:r>
      <w:r>
        <w:rPr>
          <w:rFonts w:ascii="Times New Roman" w:hAnsi="Times New Roman" w:cs="Times New Roman"/>
        </w:rPr>
      </w:r>
    </w:p>
    <w:p>
      <w:pPr>
        <w:pStyle w:val="929"/>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918"/>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bl>
      <w:tblPr>
        <w:tblW w:w="9069" w:type="dxa"/>
        <w:tblInd w:w="72" w:type="dxa"/>
        <w:tblLayout w:type="fixed"/>
        <w:tblCellMar>
          <w:left w:w="62" w:type="dxa"/>
          <w:top w:w="102" w:type="dxa"/>
          <w:right w:w="62" w:type="dxa"/>
          <w:bottom w:w="102" w:type="dxa"/>
        </w:tblCellMar>
        <w:tblLook w:val="04A0" w:firstRow="1" w:lastRow="0" w:firstColumn="1" w:lastColumn="0" w:noHBand="0" w:noVBand="1"/>
      </w:tblPr>
      <w:tblGrid>
        <w:gridCol w:w="789"/>
        <w:gridCol w:w="8279"/>
      </w:tblGrid>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1.</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Содержание и обоснование </w:t>
            </w:r>
            <w:r>
              <w:rPr>
                <w:rFonts w:ascii="Times New Roman" w:hAnsi="Times New Roman" w:cs="Times New Roman"/>
                <w:bCs/>
                <w:sz w:val="24"/>
                <w:szCs w:val="24"/>
                <w:lang w:bidi="en-US"/>
              </w:rPr>
              <w:t xml:space="preserve">фундаментальных и прикладных научных исследований (работ)</w:t>
            </w:r>
            <w:r>
              <w:rPr>
                <w:rFonts w:ascii="Times New Roman" w:hAnsi="Times New Roman" w:cs="Times New Roman"/>
                <w:sz w:val="24"/>
                <w:szCs w:val="24"/>
              </w:rPr>
              <w:t xml:space="preserve"> (далее именуется - проект), представленного на конкурс на   </w:t>
            </w:r>
            <w:r>
              <w:rPr>
                <w:rFonts w:ascii="Times New Roman" w:hAnsi="Times New Roman" w:cs="Times New Roman"/>
                <w:color w:val="000000"/>
                <w:sz w:val="24"/>
                <w:szCs w:val="24"/>
              </w:rPr>
              <w:t xml:space="preserve">предоставления </w:t>
            </w:r>
            <w:r>
              <w:rPr>
                <w:rFonts w:ascii="Times New Roman" w:hAnsi="Times New Roman" w:cs="Times New Roman"/>
                <w:bCs/>
                <w:color w:val="000000"/>
                <w:spacing w:val="-3"/>
                <w:sz w:val="24"/>
                <w:szCs w:val="24"/>
              </w:rPr>
              <w:t xml:space="preserve">грантов в форме субсидий федеральным государственным образовательным организациям высшего образования (</w:t>
            </w:r>
            <w:r>
              <w:rPr>
                <w:rFonts w:ascii="Times New Roman" w:hAnsi="Times New Roman" w:cs="Times New Roman"/>
                <w:sz w:val="24"/>
                <w:szCs w:val="24"/>
              </w:rPr>
              <w:t xml:space="preserve">далее именуется - конкурс)</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1.1.</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Наименование проекта</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918"/>
              <w:ind w:right="0" w:firstLine="709"/>
              <w:jc w:val="both"/>
              <w:widowControl w:val="off"/>
              <w:rPr>
                <w:sz w:val="24"/>
                <w:szCs w:val="24"/>
              </w:rPr>
            </w:pPr>
            <w:r>
              <w:rPr>
                <w:rFonts w:ascii="Times New Roman" w:hAnsi="Times New Roman" w:cs="Times New Roman"/>
                <w:sz w:val="24"/>
                <w:szCs w:val="24"/>
                <w:shd w:val="clear" w:color="auto" w:fill="auto"/>
              </w:rPr>
              <w:t xml:space="preserve">Проведение фундаментальных и прикладных научных исследований (работ) для сферы здравоохранения Волгоградской области по следующим направлениям:</w:t>
            </w:r>
            <w:r>
              <w:rPr>
                <w:sz w:val="24"/>
                <w:szCs w:val="24"/>
              </w:rPr>
            </w:r>
            <w:r>
              <w:rPr>
                <w:sz w:val="24"/>
                <w:szCs w:val="24"/>
              </w:rPr>
            </w:r>
          </w:p>
          <w:p>
            <w:pPr>
              <w:pStyle w:val="918"/>
              <w:ind w:right="0" w:firstLine="0"/>
              <w:jc w:val="both"/>
              <w:widowControl w:val="off"/>
              <w:rPr>
                <w:sz w:val="24"/>
                <w:szCs w:val="24"/>
              </w:rPr>
            </w:pPr>
            <w:r>
              <w:rPr>
                <w:rFonts w:ascii="Times New Roman" w:hAnsi="Times New Roman" w:cs="Times New Roman"/>
                <w:sz w:val="24"/>
                <w:szCs w:val="24"/>
                <w:shd w:val="clear" w:color="auto" w:fill="auto"/>
              </w:rPr>
              <w:t xml:space="preserve">I. Оптимизация (</w:t>
            </w:r>
            <w:r>
              <w:rPr>
                <w:rFonts w:ascii="Times New Roman" w:hAnsi="Times New Roman" w:cs="Times New Roman"/>
                <w:sz w:val="24"/>
                <w:szCs w:val="24"/>
                <w:shd w:val="clear" w:color="auto" w:fill="auto"/>
              </w:rPr>
              <w:t xml:space="preserve">"бесшовный" переход на единую региональную медицинскую информационную систему) медицинской информационной системы с разработкой практических модулей в медицинской информационной системе под задачи развития региональной системы здравоохранения до 2035 года;</w:t>
            </w:r>
            <w:r>
              <w:rPr>
                <w:sz w:val="24"/>
                <w:szCs w:val="24"/>
              </w:rPr>
            </w:r>
            <w:r>
              <w:rPr>
                <w:sz w:val="24"/>
                <w:szCs w:val="24"/>
              </w:rPr>
            </w:r>
          </w:p>
          <w:p>
            <w:pPr>
              <w:pStyle w:val="918"/>
              <w:ind w:right="0" w:firstLine="0"/>
              <w:jc w:val="both"/>
              <w:widowControl w:val="off"/>
              <w:rPr>
                <w:sz w:val="24"/>
                <w:szCs w:val="24"/>
              </w:rPr>
            </w:pPr>
            <w:r>
              <w:rPr>
                <w:rFonts w:ascii="Times New Roman" w:hAnsi="Times New Roman" w:cs="Times New Roman"/>
                <w:sz w:val="24"/>
                <w:szCs w:val="24"/>
                <w:shd w:val="clear" w:color="auto" w:fill="auto"/>
              </w:rPr>
              <w:t xml:space="preserve">II. Разработка практического модуля по управлению лекарственным обеспечением жителей Волгоградской области в медицинскую информационную систему;</w:t>
            </w:r>
            <w:r>
              <w:rPr>
                <w:sz w:val="24"/>
                <w:szCs w:val="24"/>
              </w:rPr>
            </w:r>
            <w:r>
              <w:rPr>
                <w:sz w:val="24"/>
                <w:szCs w:val="24"/>
              </w:rPr>
            </w:r>
          </w:p>
          <w:p>
            <w:pPr>
              <w:pStyle w:val="918"/>
              <w:ind w:right="0" w:firstLine="0"/>
              <w:jc w:val="both"/>
              <w:widowControl w:val="off"/>
              <w:rPr>
                <w:sz w:val="24"/>
                <w:szCs w:val="24"/>
              </w:rPr>
            </w:pPr>
            <w:r>
              <w:rPr>
                <w:rFonts w:ascii="Times New Roman" w:hAnsi="Times New Roman" w:cs="Times New Roman"/>
                <w:sz w:val="24"/>
                <w:szCs w:val="24"/>
                <w:shd w:val="clear" w:color="auto" w:fill="auto"/>
              </w:rPr>
              <w:t xml:space="preserve">III. Региональные клинико-морфологические особенности хронических воспалительных заболеваний желудочно-кишечного тракта как предикторов заболеваний с потенциально высоким риском опухолевой трансформации;</w:t>
            </w:r>
            <w:r>
              <w:rPr>
                <w:sz w:val="24"/>
                <w:szCs w:val="24"/>
              </w:rPr>
            </w:r>
            <w:r>
              <w:rPr>
                <w:sz w:val="24"/>
                <w:szCs w:val="24"/>
              </w:rPr>
            </w:r>
          </w:p>
          <w:p>
            <w:pPr>
              <w:pStyle w:val="918"/>
              <w:ind w:right="0" w:firstLine="0"/>
              <w:jc w:val="both"/>
              <w:widowControl w:val="off"/>
              <w:rPr>
                <w:sz w:val="24"/>
                <w:szCs w:val="24"/>
              </w:rPr>
            </w:pPr>
            <w:r>
              <w:rPr>
                <w:rFonts w:ascii="Times New Roman" w:hAnsi="Times New Roman" w:cs="Times New Roman"/>
                <w:sz w:val="24"/>
                <w:szCs w:val="24"/>
                <w:shd w:val="clear" w:color="auto" w:fill="auto"/>
              </w:rPr>
              <w:t xml:space="preserve">IV. «Волгоградский магний» - разработка средств на основе минерального сырья Волгоградской области для профилактической медицины.</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1.2.</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Новизна заявленной проблемы и предлагаемых подходов</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I.</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На сегодня выделяется ряд проблем, с которыми сталкиваются разработчики и потребители медицинских информационных систем (МИС) на этапе вне</w:t>
            </w:r>
            <w:r>
              <w:rPr>
                <w:rFonts w:ascii="Times New Roman" w:hAnsi="Times New Roman" w:cs="Times New Roman"/>
                <w:sz w:val="24"/>
                <w:szCs w:val="24"/>
              </w:rPr>
              <w:t xml:space="preserve">дрения. В первую очередь это нехватка кадров, достаточно компетентных в области проектирования и разработки информационных систем. Прежде всего отмечается недостаток в специалистах, хорошо разбирающихся как в программировании, так и в медицинской предметно</w:t>
            </w:r>
            <w:r>
              <w:rPr>
                <w:rFonts w:ascii="Times New Roman" w:hAnsi="Times New Roman" w:cs="Times New Roman"/>
                <w:sz w:val="24"/>
                <w:szCs w:val="24"/>
              </w:rPr>
              <w:t xml:space="preserve">й области. Свой вклад вносит и высокая текучесть кадров, особенно на фоне массовой релокации ИТ-специалистов, имевшей место в 2022 году. Аналогичная проблема на этапе внедрения МИС, так как нет для медицинской организации — это изменения и трансформация вс</w:t>
            </w:r>
            <w:r>
              <w:rPr>
                <w:rFonts w:ascii="Times New Roman" w:hAnsi="Times New Roman" w:cs="Times New Roman"/>
                <w:sz w:val="24"/>
                <w:szCs w:val="24"/>
              </w:rPr>
              <w:t xml:space="preserve">ех бизнес-процессов, к внедрению которых зачастую не готовы. Выделяют ряд организационных проблем: недостаточная вовлеченность сотрудников: отсутствие должной мотивации у медицинского персонала для освоения новой системы может замедлить процесс перехода и </w:t>
            </w:r>
            <w:r>
              <w:rPr>
                <w:rFonts w:ascii="Times New Roman" w:hAnsi="Times New Roman" w:cs="Times New Roman"/>
                <w:sz w:val="24"/>
                <w:szCs w:val="24"/>
              </w:rPr>
              <w:t xml:space="preserve">снизить эффективность работы. Неэффективная координация между участниками проекта: недостаточное взаимодействие между разработчиками, медицинскими учреждениями и другими заинтересованными сторонами приводит к задержкам и ошибкам в процессе внедрения. Вторы</w:t>
            </w:r>
            <w:r>
              <w:rPr>
                <w:rFonts w:ascii="Times New Roman" w:hAnsi="Times New Roman" w:cs="Times New Roman"/>
                <w:sz w:val="24"/>
                <w:szCs w:val="24"/>
              </w:rPr>
              <w:t xml:space="preserve">м блоком выделяют проблемы, связанные с обучением и адаптацией: низкий уровень компьютерной грамотности. Если сотрудники медицинских учреждений недостаточно подготовлены к использованию новой системы, это затрудняет ее внедрение и снижает эффективность раб</w:t>
            </w:r>
            <w:r>
              <w:rPr>
                <w:rFonts w:ascii="Times New Roman" w:hAnsi="Times New Roman" w:cs="Times New Roman"/>
                <w:sz w:val="24"/>
                <w:szCs w:val="24"/>
              </w:rPr>
              <w:t xml:space="preserve">оты. Сопротивление изменениям: сотрудники часто сопротивляются нововведениям, что требует дополнительных усилий для их вовлечения и адаптации. Двойным стрессом является переход с одной медицинской информационной системы на другую. В условиях перехода на но</w:t>
            </w:r>
            <w:r>
              <w:rPr>
                <w:rFonts w:ascii="Times New Roman" w:hAnsi="Times New Roman" w:cs="Times New Roman"/>
                <w:sz w:val="24"/>
                <w:szCs w:val="24"/>
              </w:rPr>
              <w:t xml:space="preserve">вую медицинскую информационную систему возникает проблема возрастающей нагрузки на региональную систему здравоохранения, медицинский и управленческий персонал медицинских организаций, так как переход на новую МИС сопряжен с дезадаптацией отлаженных процесс</w:t>
            </w:r>
            <w:r>
              <w:rPr>
                <w:rFonts w:ascii="Times New Roman" w:hAnsi="Times New Roman" w:cs="Times New Roman"/>
                <w:sz w:val="24"/>
                <w:szCs w:val="24"/>
              </w:rPr>
              <w:t xml:space="preserve">ов и высокой степенью стресса на рабочих местах. Поэтому для эффективного внедрения и использования новой МИС необходимо разработать методологию и дополнительные автоматизированные модули, включающие на научно-обоснованных подходы к управлению изменениями.</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Новизна исследования заключается в разработке у</w:t>
            </w:r>
            <w:r>
              <w:rPr>
                <w:rFonts w:ascii="Times New Roman" w:hAnsi="Times New Roman" w:cs="Times New Roman"/>
                <w:sz w:val="24"/>
                <w:szCs w:val="24"/>
              </w:rPr>
              <w:t xml:space="preserve">нифицированных документов для автоматизации работы медицинских организаций с помощью единой региональной МИС с учетом требований клинических рекомендаций, приказов Министерства здравоохранения, руководств по реализации структурированных электронных медицин</w:t>
            </w:r>
            <w:r>
              <w:rPr>
                <w:rFonts w:ascii="Times New Roman" w:hAnsi="Times New Roman" w:cs="Times New Roman"/>
                <w:sz w:val="24"/>
                <w:szCs w:val="24"/>
              </w:rPr>
              <w:t xml:space="preserve">ских документов, опубликованных на портале оперативного взаимодействия участков ЕГИСЗ, а также разработке методических рекомендаций в части применения унифицированных протоколов, последовательности формирования  медицинской документации в электронном виде,</w:t>
            </w:r>
            <w:r>
              <w:rPr>
                <w:rFonts w:ascii="Times New Roman" w:hAnsi="Times New Roman" w:cs="Times New Roman"/>
                <w:sz w:val="24"/>
                <w:szCs w:val="24"/>
              </w:rPr>
              <w:t xml:space="preserve"> создании модульной программы обучения медицинских работников по эффективному использованию МИС. Модульные программы обучения медицинских работников будут включены в процессы обучения в медицинском университете и при проведении циклов обучения на "Фабрике </w:t>
            </w:r>
            <w:r>
              <w:rPr>
                <w:rFonts w:ascii="Times New Roman" w:hAnsi="Times New Roman" w:cs="Times New Roman"/>
                <w:sz w:val="24"/>
                <w:szCs w:val="24"/>
              </w:rPr>
              <w:t xml:space="preserve">знаний</w:t>
            </w:r>
            <w:r>
              <w:rPr>
                <w:rFonts w:ascii="Times New Roman" w:hAnsi="Times New Roman" w:cs="Times New Roman"/>
                <w:sz w:val="24"/>
                <w:szCs w:val="24"/>
              </w:rPr>
              <w:t xml:space="preserve">" </w:t>
            </w:r>
            <w:r>
              <w:rPr>
                <w:rFonts w:ascii="Times New Roman" w:hAnsi="Times New Roman" w:cs="Times New Roman"/>
                <w:sz w:val="24"/>
                <w:szCs w:val="24"/>
              </w:rPr>
              <w:t xml:space="preserve">ФГБОУ ВО ВолгГМУ Минздрава РФ</w:t>
            </w:r>
            <w:r>
              <w:rPr>
                <w:rFonts w:ascii="Times New Roman" w:hAnsi="Times New Roman" w:cs="Times New Roman"/>
                <w:sz w:val="24"/>
                <w:szCs w:val="24"/>
              </w:rPr>
              <w:t xml:space="preserve">.</w:t>
            </w:r>
            <w:r>
              <w:rPr>
                <w:sz w:val="24"/>
                <w:szCs w:val="24"/>
              </w:rPr>
            </w:r>
            <w:r>
              <w:rPr>
                <w:sz w:val="24"/>
                <w:szCs w:val="24"/>
              </w:rPr>
            </w:r>
          </w:p>
          <w:p>
            <w:pPr>
              <w:pStyle w:val="859"/>
              <w:ind w:right="0" w:firstLine="709"/>
              <w:jc w:val="both"/>
              <w:spacing w:before="0" w:after="0" w:line="240" w:lineRule="auto"/>
              <w:widowControl w:val="off"/>
              <w:rPr>
                <w:sz w:val="24"/>
                <w:szCs w:val="24"/>
              </w:rPr>
            </w:pPr>
            <w:r>
              <w:rPr>
                <w:sz w:val="24"/>
                <w:szCs w:val="24"/>
              </w:rPr>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II.</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В условиях перехода на н</w:t>
            </w:r>
            <w:r>
              <w:rPr>
                <w:rFonts w:ascii="Times New Roman" w:hAnsi="Times New Roman" w:cs="Times New Roman"/>
                <w:sz w:val="24"/>
                <w:szCs w:val="24"/>
              </w:rPr>
              <w:t xml:space="preserve">овую медицинскую информационную систему возникает проблема возрастающей нагрузки на региональную систему здравоохранения. Для эффективного внедрения и использования новой МИС необходимо разработать дополнительные автоматизированные модули, включающие на на</w:t>
            </w:r>
            <w:r>
              <w:rPr>
                <w:rFonts w:ascii="Times New Roman" w:hAnsi="Times New Roman" w:cs="Times New Roman"/>
                <w:sz w:val="24"/>
                <w:szCs w:val="24"/>
              </w:rPr>
              <w:t xml:space="preserve">учно-обоснованных подходах к управлению. В настоящий момент задачи по формированию потребности в лекарственном обеспечении, формирование и обслуживание электронного рецепта, учет движения лекарств решаются вручную. Традиционные методы, основанные на ручном</w:t>
            </w:r>
            <w:r>
              <w:rPr>
                <w:rFonts w:ascii="Times New Roman" w:hAnsi="Times New Roman" w:cs="Times New Roman"/>
                <w:sz w:val="24"/>
                <w:szCs w:val="24"/>
              </w:rPr>
              <w:t xml:space="preserve"> вводе данных медицинскими организациями региона, использовании файлов промежуточного представления и их последующей ручной обработки, не способны учитывать комплексный характер взаимодействия множества факторов. Это приводит к недостаточной точности и опе</w:t>
            </w:r>
            <w:r>
              <w:rPr>
                <w:rFonts w:ascii="Times New Roman" w:hAnsi="Times New Roman" w:cs="Times New Roman"/>
                <w:sz w:val="24"/>
                <w:szCs w:val="24"/>
              </w:rPr>
              <w:t xml:space="preserve">ративности принимаемых решений, что особенно критично в условиях ограниченных временных и кадровых ресурсов. Дополнительно, существующие подходы не обеспечивают должного уровня взаимодействия с поставщиками, что приводит к увеличению сроков поставок, избыт</w:t>
            </w:r>
            <w:r>
              <w:rPr>
                <w:rFonts w:ascii="Times New Roman" w:hAnsi="Times New Roman" w:cs="Times New Roman"/>
                <w:sz w:val="24"/>
                <w:szCs w:val="24"/>
              </w:rPr>
              <w:t xml:space="preserve">очным запасам и недостаточной прозрачности цепочки поставок. При этом накоплена большая база данных от поставщиков медицинских изделий и лекарственных препаратов, аналитические отчеты комитета здравоохранения Волгоградской области и медицинских организаций</w:t>
            </w:r>
            <w:r>
              <w:rPr>
                <w:rFonts w:ascii="Times New Roman" w:hAnsi="Times New Roman" w:cs="Times New Roman"/>
                <w:sz w:val="24"/>
                <w:szCs w:val="24"/>
              </w:rPr>
              <w:t xml:space="preserve">. Поэтому комплексным решением станет автоматизированный модель «Лекарственное обеспечение», который будет консолидировать информацию где лекарства находятся в каждый конкретный момент времени, содержать информацию об остатках в различных медицинских орган</w:t>
            </w:r>
            <w:r>
              <w:rPr>
                <w:rFonts w:ascii="Times New Roman" w:hAnsi="Times New Roman" w:cs="Times New Roman"/>
                <w:sz w:val="24"/>
                <w:szCs w:val="24"/>
              </w:rPr>
              <w:t xml:space="preserve">изациях для эффективного перераспределения ресурсов с использованием возможностей искусственного интеллекта, автоматизировать сбор и анализа потребностей в медицинских материалах, медикаментах, на основе этих данных можно будет запускать конкурсные процеду</w:t>
            </w:r>
            <w:r>
              <w:rPr>
                <w:rFonts w:ascii="Times New Roman" w:hAnsi="Times New Roman" w:cs="Times New Roman"/>
                <w:sz w:val="24"/>
                <w:szCs w:val="24"/>
              </w:rPr>
              <w:t xml:space="preserve">ры. Аналогичные автоматизированные системы созданы и эффективно функционируют в других регионах, что позволит использовать накопленный опыт для разработки оптимальных решений (наиболее эффективные системы Москвы, Московская области, Башкортостана, Казани).</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Предлагаемые подходы будут включать:</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1. Автоматизацию процессов сбора и обработки потребностей. Это позволяет повысить точность и актуальность данных, а также существенно сократить временные затраты.</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2. Использование технологий искусственного интеллекта. Методы обеспечат учет множества факторов, включая сезонные колебания, эпидемиологические данные и демографические особенности.</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3. Оптимизацию процессов распределения ресурсов. Разработка математических моделей и оптимизационных алгоритмов для расчета наиболее эффективных сценариев распределения ресурсов, минимизации издержек и предотвращения дефицита.</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4. Создание системы поддержки принятия решений (СППР). Интеграция визуальных аналитических инструментов, таких как дашборды, геоинформационные карты и графовые модели, для упрощения интерпретации данных и повышения прозрачности управленческих процессов.</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5. Интеграция процессов в региональную информационную систему здравоохранения. Внедрение в защищенный цифровой контур региона, что обеспечивает системный подход к управлению.</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6. Взаимодействие с конечными контрагентами (поста</w:t>
            </w:r>
            <w:r>
              <w:rPr>
                <w:rFonts w:ascii="Times New Roman" w:hAnsi="Times New Roman" w:cs="Times New Roman"/>
                <w:sz w:val="24"/>
                <w:szCs w:val="24"/>
              </w:rPr>
              <w:t xml:space="preserve">вщиками) с использованием технологии бережливого производства. Позволит оптимизировать логистические процессы, улучшить контроль качества медицинского сервиса и сократить операционные издержки при обеспечении медицинских организаций необходимыми ресурсами.</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Таким образом, решение выходит за рамки традиционных подходов, обеспечивая научно-обоснованную и технологи</w:t>
            </w:r>
            <w:r>
              <w:rPr>
                <w:rFonts w:ascii="Times New Roman" w:hAnsi="Times New Roman" w:cs="Times New Roman"/>
                <w:sz w:val="24"/>
                <w:szCs w:val="24"/>
              </w:rPr>
              <w:t xml:space="preserve">чную основу для повышения эффективности работы новой МИС, взаимодействия комитета здравоохранения Волгоградской области  и медицинских организаций региона с поставщиками лекарственных препаратов и медицинских изделий по вопросам лекарственного обеспечения.</w:t>
            </w:r>
            <w:r>
              <w:rPr>
                <w:sz w:val="24"/>
                <w:szCs w:val="24"/>
              </w:rPr>
            </w:r>
            <w:r>
              <w:rPr>
                <w:sz w:val="24"/>
                <w:szCs w:val="24"/>
              </w:rPr>
            </w:r>
          </w:p>
          <w:p>
            <w:pPr>
              <w:pStyle w:val="859"/>
              <w:ind w:right="0" w:firstLine="709"/>
              <w:jc w:val="both"/>
              <w:spacing w:before="0" w:after="0" w:line="240" w:lineRule="auto"/>
              <w:widowControl w:val="off"/>
              <w:rPr>
                <w:sz w:val="24"/>
                <w:szCs w:val="24"/>
              </w:rPr>
            </w:pPr>
            <w:r>
              <w:rPr>
                <w:sz w:val="24"/>
                <w:szCs w:val="24"/>
              </w:rPr>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III.</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Снижение заболеваемости и смертности от онкологических заболеваний в Волгоградской области является одной из приоритетных задач регионального здравоохранения. Предпосылками для возникновения предопухоле</w:t>
            </w:r>
            <w:r>
              <w:rPr>
                <w:rFonts w:ascii="Times New Roman" w:hAnsi="Times New Roman" w:cs="Times New Roman"/>
                <w:sz w:val="24"/>
                <w:szCs w:val="24"/>
              </w:rPr>
              <w:t xml:space="preserve">вых заболеваний слизистой оболочки ЖКТ на фоне хронических воспалительных заболеваний является нарушение клеточной пролиферации, апоптоза и дифференцировки клеток. Известно, что процессы поддержания постоянства пула эпителиоцитов слизистой оболочки ЖКТ нах</w:t>
            </w:r>
            <w:r>
              <w:rPr>
                <w:rFonts w:ascii="Times New Roman" w:hAnsi="Times New Roman" w:cs="Times New Roman"/>
                <w:sz w:val="24"/>
                <w:szCs w:val="24"/>
              </w:rPr>
              <w:t xml:space="preserve">одятся под контролем различных генов, экспрессирующих регуляторные молекулы, такие как Bcl-2, p53, Ki-67 [K. Stamatiou 2024]. При этом роль протеинов Ki-67, p53, Bcl-2 в возникновении и прогрессировании опухолевых состояний достаточно хорошо изучена [F. Lo</w:t>
            </w:r>
            <w:r>
              <w:rPr>
                <w:rFonts w:ascii="Times New Roman" w:hAnsi="Times New Roman" w:cs="Times New Roman"/>
                <w:sz w:val="24"/>
                <w:szCs w:val="24"/>
              </w:rPr>
              <w:t xml:space="preserve">rdick 2020; H. Itami 2021]. Однако раскрытие новых молекулярно-генетических механизмов прогрессирования предопухолевых состояний слизистой ЖКТ позволит существенно расширить понимание механизмов развития данной патологии, что улучшит диагностику и лечения.</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Аналит</w:t>
            </w:r>
            <w:r>
              <w:rPr>
                <w:rFonts w:ascii="Times New Roman" w:hAnsi="Times New Roman" w:cs="Times New Roman"/>
                <w:sz w:val="24"/>
                <w:szCs w:val="24"/>
              </w:rPr>
              <w:t xml:space="preserve">ические доклады и отчеты указывают на высокий показатель заболеваемости хроническими воспалительными заболеваниями слизистой оболочки ЖКТ в Волгоградской области (количество биоптатов при прижизненных эндоскопических исследованиях в 2023 году составило не </w:t>
            </w:r>
            <w:r>
              <w:rPr>
                <w:rFonts w:ascii="Times New Roman" w:hAnsi="Times New Roman" w:cs="Times New Roman"/>
                <w:sz w:val="24"/>
                <w:szCs w:val="24"/>
              </w:rPr>
              <w:t xml:space="preserve">менее 9700 случаев). Одним из реальных ресурсов по снижению заболеваемости и смертности от онкологических заболеваний в регионе служит разработка мероприятий по снижению риска развития заболеваний ЖКТ с потенциально высоким риском опухолевой трансформации.</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В патогенезе предзлокачественных заболеваний желудка важное значение имеет экспрессия генов общего контроля, которые обеспечивают способно</w:t>
            </w:r>
            <w:r>
              <w:rPr>
                <w:rFonts w:ascii="Times New Roman" w:hAnsi="Times New Roman" w:cs="Times New Roman"/>
                <w:sz w:val="24"/>
                <w:szCs w:val="24"/>
              </w:rPr>
              <w:t xml:space="preserve">сть репарации нелетальных мутаций в геноме (мутаций протоонкогенов, генов-супрессоров опухолевого роста и генов-регуляторов апоптоза) тем самым обеспечивают стабильность генома. К этой категории относятся гены системы репарации ошибочно спаренных нуклеотид</w:t>
            </w:r>
            <w:r>
              <w:rPr>
                <w:rFonts w:ascii="Times New Roman" w:hAnsi="Times New Roman" w:cs="Times New Roman"/>
                <w:sz w:val="24"/>
                <w:szCs w:val="24"/>
              </w:rPr>
              <w:t xml:space="preserve">ов (мис-мэтч репарация, MMR). При инактивации генов системы MMR происходит накопление многочисленных мутаций в геноме, в том числе в зонах микросателлитных повторов, что обусловливает формирование микросателлитной нестабильности (MSI) [Н.В. Данилова 2022].</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Известно, что </w:t>
            </w:r>
            <w:r>
              <w:rPr>
                <w:rFonts w:ascii="Times New Roman" w:hAnsi="Times New Roman" w:cs="Times New Roman"/>
                <w:sz w:val="24"/>
                <w:szCs w:val="24"/>
              </w:rPr>
              <w:t xml:space="preserve">мутации в микросателлитах возникают в десятки раз чаще, чем в других областях генома, а при нарушении их эффективной репарации количество мутаций возрастает в сотни и тысячи раз. Большинство мутаций в повторяющихся последовательностях непосредственно не вл</w:t>
            </w:r>
            <w:r>
              <w:rPr>
                <w:rFonts w:ascii="Times New Roman" w:hAnsi="Times New Roman" w:cs="Times New Roman"/>
                <w:sz w:val="24"/>
                <w:szCs w:val="24"/>
              </w:rPr>
              <w:t xml:space="preserve">ияет на жизнедеятельность клетки, однако ускоренное накопление мутаций в регуляторных и кодирующих областях генов, ответственных за процессы клеточного роста, деления и апоптоза, способствует неконтролируемому росту, выживанию и дальнейшей опухолевой транс</w:t>
            </w:r>
            <w:r>
              <w:rPr>
                <w:rFonts w:ascii="Times New Roman" w:hAnsi="Times New Roman" w:cs="Times New Roman"/>
                <w:sz w:val="24"/>
                <w:szCs w:val="24"/>
              </w:rPr>
              <w:t xml:space="preserve">формации клеток с неисправной системой репарации. Гены системы репарации содержат повторяющиеся последовательности в кодирующих областях и возникающие в них вторичные мутации могут способствовать дальнейшей дестабилизации всей системы [Н.В. Данилова 2022].</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Некоторые хронические воспалительные заболевания ЖКТ с высоким риском опухолевой </w:t>
            </w:r>
            <w:r>
              <w:rPr>
                <w:rFonts w:ascii="Times New Roman" w:hAnsi="Times New Roman" w:cs="Times New Roman"/>
                <w:sz w:val="24"/>
                <w:szCs w:val="24"/>
              </w:rPr>
              <w:t xml:space="preserve">трансформации в злокачественные опухоли желудка или толстого кишечника могут возникать на фоне дефектов системы репарации ДНК, и характеризоваться специфическими молекулярно-биологическими и клиническими особенностями что и послужило причиной исследования.</w:t>
            </w:r>
            <w:r>
              <w:rPr>
                <w:sz w:val="24"/>
                <w:szCs w:val="24"/>
              </w:rPr>
            </w:r>
            <w:r>
              <w:rPr>
                <w:sz w:val="24"/>
                <w:szCs w:val="24"/>
              </w:rPr>
            </w:r>
          </w:p>
          <w:p>
            <w:pPr>
              <w:pStyle w:val="859"/>
              <w:ind w:right="0" w:firstLine="709"/>
              <w:jc w:val="both"/>
              <w:spacing w:before="0" w:after="0" w:line="240" w:lineRule="auto"/>
              <w:widowControl w:val="off"/>
              <w:rPr>
                <w:sz w:val="24"/>
                <w:szCs w:val="24"/>
              </w:rPr>
            </w:pPr>
            <w:r>
              <w:rPr>
                <w:sz w:val="24"/>
                <w:szCs w:val="24"/>
              </w:rPr>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IV.</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В последние годы значительно вырос интерес к проблеме биологической роли магния, его дефицита и связанными с ним нарушения гомеостаза. Показано, что ионы маг</w:t>
            </w:r>
            <w:r>
              <w:rPr>
                <w:rFonts w:ascii="Times New Roman" w:hAnsi="Times New Roman" w:cs="Times New Roman"/>
                <w:sz w:val="24"/>
                <w:szCs w:val="24"/>
              </w:rPr>
              <w:t xml:space="preserve">ний (Mg2+) имеют важное значение в реализации иммунных реакций, в воспалении, в нервной и мышечной возбудимости, в регуляции сосудистого тонуса и обмена холестерина, в энергетическом обмене, в формировании и укреплении костной ткани, в синтезе множества би</w:t>
            </w:r>
            <w:r>
              <w:rPr>
                <w:rFonts w:ascii="Times New Roman" w:hAnsi="Times New Roman" w:cs="Times New Roman"/>
                <w:sz w:val="24"/>
                <w:szCs w:val="24"/>
              </w:rPr>
              <w:t xml:space="preserve">ологически активных веществ de novo. В последние годы существенно участились случаи обострения хронических заболеваний, связанных с дефицитом магния. Отсюда следует, что перспективность применения магнийсодержащих средств достаточно высокая. Анализ состоян</w:t>
            </w:r>
            <w:r>
              <w:rPr>
                <w:rFonts w:ascii="Times New Roman" w:hAnsi="Times New Roman" w:cs="Times New Roman"/>
                <w:sz w:val="24"/>
                <w:szCs w:val="24"/>
              </w:rPr>
              <w:t xml:space="preserve">ия рынка магнийсодержащих средств продемонстрировал, что на долю продуктов природного происхождения отводится крайне низкий процент. Природный минерал бишофит богат солями магния натурального происхождения, что указывает на большую степень его  усваемости.</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Изучение биологической активности минерала бишофит проводилось сотрудниками </w:t>
            </w:r>
            <w:r>
              <w:rPr>
                <w:rFonts w:ascii="Times New Roman" w:hAnsi="Times New Roman" w:cs="Times New Roman"/>
                <w:sz w:val="24"/>
                <w:szCs w:val="24"/>
              </w:rPr>
              <w:t xml:space="preserve">Волгоградского государственного медицинского университета  более 20 лет. Благодаря этим исследованиям были установлены пределы безопасности при применении этого природного минерала и затем он был разрешен к медицинскому применению как бальнеологическое сре</w:t>
            </w:r>
            <w:r>
              <w:rPr>
                <w:rFonts w:ascii="Times New Roman" w:hAnsi="Times New Roman" w:cs="Times New Roman"/>
                <w:sz w:val="24"/>
                <w:szCs w:val="24"/>
              </w:rPr>
              <w:t xml:space="preserve">дство. Учитывая накопленный большой положительный опыт применения средств на основе бишофита при различных заболеваниях в стоматологии, гинекологии, терапии, дерматологии, ЛОР-практике, а также преимущество отечественного производства, представляется целес</w:t>
            </w:r>
            <w:r>
              <w:rPr>
                <w:rFonts w:ascii="Times New Roman" w:hAnsi="Times New Roman" w:cs="Times New Roman"/>
                <w:sz w:val="24"/>
                <w:szCs w:val="24"/>
              </w:rPr>
              <w:t xml:space="preserve">ообразным активизировать работы по созданию и внедрению в практику новых средств на основе этого природного минерала. Обновление и расширение ассортимента магнийсодержащих средств отечественного производства также позволит решить проблему импортозамещения.</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1.3.</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Цели и задачи исследования проекта</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859"/>
              <w:ind w:right="0" w:firstLine="709"/>
              <w:jc w:val="both"/>
              <w:widowControl w:val="off"/>
              <w:rPr>
                <w:sz w:val="24"/>
                <w:szCs w:val="24"/>
              </w:rPr>
            </w:pPr>
            <w:r>
              <w:rPr>
                <w:rFonts w:ascii="Times New Roman" w:hAnsi="Times New Roman" w:cs="Times New Roman"/>
                <w:b/>
                <w:sz w:val="24"/>
                <w:szCs w:val="24"/>
              </w:rPr>
              <w:t xml:space="preserve">Цели проекта:</w:t>
            </w:r>
            <w:r>
              <w:rPr>
                <w:sz w:val="24"/>
                <w:szCs w:val="24"/>
              </w:rPr>
            </w:r>
            <w:r>
              <w:rPr>
                <w:sz w:val="24"/>
                <w:szCs w:val="24"/>
              </w:rPr>
            </w:r>
          </w:p>
          <w:p>
            <w:pPr>
              <w:pStyle w:val="859"/>
              <w:numPr>
                <w:ilvl w:val="0"/>
                <w:numId w:val="3"/>
              </w:numPr>
              <w:jc w:val="both"/>
              <w:widowControl w:val="off"/>
              <w:rPr>
                <w:sz w:val="24"/>
                <w:szCs w:val="24"/>
              </w:rPr>
            </w:pPr>
            <w:r>
              <w:rPr>
                <w:rFonts w:ascii="Times New Roman" w:hAnsi="Times New Roman" w:cs="Times New Roman"/>
                <w:sz w:val="24"/>
                <w:szCs w:val="24"/>
              </w:rPr>
              <w:t xml:space="preserve">Создание комплекса унифицированных шаблонов медицинских документов д</w:t>
            </w:r>
            <w:r>
              <w:rPr>
                <w:rFonts w:ascii="Times New Roman" w:hAnsi="Times New Roman" w:cs="Times New Roman"/>
                <w:sz w:val="24"/>
                <w:szCs w:val="24"/>
              </w:rPr>
              <w:t xml:space="preserve">ля интеграции в региональную МИС, отвечающего нормативным требованиям и направленного на повышение эффективности работы медицинских организаций за счет обеспечения единых подходов к ведению документации и сокращения дефектов в оказании медицинской помощи.;</w:t>
            </w:r>
            <w:r>
              <w:rPr>
                <w:sz w:val="24"/>
                <w:szCs w:val="24"/>
              </w:rPr>
            </w:r>
            <w:r>
              <w:rPr>
                <w:sz w:val="24"/>
                <w:szCs w:val="24"/>
              </w:rPr>
            </w:r>
          </w:p>
          <w:p>
            <w:pPr>
              <w:pStyle w:val="859"/>
              <w:numPr>
                <w:ilvl w:val="0"/>
                <w:numId w:val="3"/>
              </w:numPr>
              <w:jc w:val="both"/>
              <w:widowControl w:val="off"/>
              <w:rPr>
                <w:sz w:val="24"/>
                <w:szCs w:val="24"/>
              </w:rPr>
            </w:pPr>
            <w:r>
              <w:rPr>
                <w:rFonts w:ascii="Times New Roman" w:hAnsi="Times New Roman" w:cs="Times New Roman"/>
                <w:sz w:val="24"/>
                <w:szCs w:val="24"/>
              </w:rPr>
              <w:t xml:space="preserve">разработка автоматизированного модуля «Лекарственное обеспечение» для сбора, анализа и управления потр</w:t>
            </w:r>
            <w:r>
              <w:rPr>
                <w:rFonts w:ascii="Times New Roman" w:hAnsi="Times New Roman" w:cs="Times New Roman"/>
                <w:sz w:val="24"/>
                <w:szCs w:val="24"/>
              </w:rPr>
              <w:t xml:space="preserve">ебностями на основе данных, аналитических и статистических моделей, а также методов визуализации бизнес-аналитики (BI) для поддержки процесса принятия управленческих решений, интеграции технологий бережливого производства для взаимодействия с поставщиками;</w:t>
            </w:r>
            <w:r>
              <w:rPr>
                <w:sz w:val="24"/>
                <w:szCs w:val="24"/>
              </w:rPr>
            </w:r>
            <w:r>
              <w:rPr>
                <w:sz w:val="24"/>
                <w:szCs w:val="24"/>
              </w:rPr>
            </w:r>
          </w:p>
          <w:p>
            <w:pPr>
              <w:pStyle w:val="859"/>
              <w:numPr>
                <w:ilvl w:val="0"/>
                <w:numId w:val="3"/>
              </w:numPr>
              <w:jc w:val="both"/>
              <w:widowControl w:val="off"/>
              <w:rPr>
                <w:sz w:val="24"/>
                <w:szCs w:val="24"/>
              </w:rPr>
            </w:pPr>
            <w:r>
              <w:rPr>
                <w:rFonts w:ascii="Times New Roman" w:hAnsi="Times New Roman" w:cs="Times New Roman"/>
                <w:sz w:val="24"/>
                <w:szCs w:val="24"/>
              </w:rPr>
              <w:t xml:space="preserve">выявление предикторных маркеров опухолевой трансформации и прогнозирования риска прогрессии хронических воспалительных заболеваний ЖКТ у жителей Волгоградской области;</w:t>
            </w:r>
            <w:r>
              <w:rPr>
                <w:sz w:val="24"/>
                <w:szCs w:val="24"/>
              </w:rPr>
            </w:r>
            <w:r>
              <w:rPr>
                <w:sz w:val="24"/>
                <w:szCs w:val="24"/>
              </w:rPr>
            </w:r>
          </w:p>
          <w:p>
            <w:pPr>
              <w:pStyle w:val="859"/>
              <w:numPr>
                <w:ilvl w:val="0"/>
                <w:numId w:val="3"/>
              </w:numPr>
              <w:jc w:val="both"/>
              <w:widowControl w:val="off"/>
              <w:rPr>
                <w:sz w:val="24"/>
                <w:szCs w:val="24"/>
              </w:rPr>
            </w:pPr>
            <w:r>
              <w:rPr>
                <w:rFonts w:ascii="Times New Roman" w:hAnsi="Times New Roman" w:cs="Times New Roman"/>
                <w:sz w:val="24"/>
                <w:szCs w:val="24"/>
              </w:rPr>
              <w:t xml:space="preserve">разработка современных технологий переработки бишофита и создание новых средств бальнеотерапии, парафармацевтического и парфюмерно-косметического ассортимента на его основе.</w:t>
            </w:r>
            <w:r>
              <w:rPr>
                <w:sz w:val="24"/>
                <w:szCs w:val="24"/>
              </w:rPr>
            </w:r>
            <w:r>
              <w:rPr>
                <w:sz w:val="24"/>
                <w:szCs w:val="24"/>
              </w:rPr>
            </w:r>
          </w:p>
          <w:p>
            <w:pPr>
              <w:pStyle w:val="859"/>
              <w:ind w:right="0" w:firstLine="709"/>
              <w:jc w:val="both"/>
              <w:widowControl w:val="off"/>
              <w:rPr>
                <w:sz w:val="24"/>
                <w:szCs w:val="24"/>
              </w:rPr>
            </w:pPr>
            <w:r>
              <w:rPr>
                <w:rFonts w:ascii="Times New Roman" w:hAnsi="Times New Roman" w:cs="Times New Roman"/>
                <w:b/>
                <w:sz w:val="24"/>
                <w:szCs w:val="24"/>
              </w:rPr>
              <w:t xml:space="preserve">Задачи исследования:</w:t>
            </w:r>
            <w:r>
              <w:rPr>
                <w:sz w:val="24"/>
                <w:szCs w:val="24"/>
              </w:rPr>
            </w:r>
            <w:r>
              <w:rPr>
                <w:sz w:val="24"/>
                <w:szCs w:val="24"/>
              </w:rPr>
            </w:r>
          </w:p>
          <w:p>
            <w:pPr>
              <w:pStyle w:val="859"/>
              <w:numPr>
                <w:ilvl w:val="0"/>
                <w:numId w:val="4"/>
              </w:numPr>
              <w:jc w:val="both"/>
              <w:spacing w:before="0" w:after="0" w:line="240" w:lineRule="auto"/>
              <w:widowControl w:val="off"/>
              <w:rPr>
                <w:sz w:val="24"/>
                <w:szCs w:val="24"/>
              </w:rPr>
            </w:pPr>
            <w:r>
              <w:rPr>
                <w:rFonts w:ascii="Times New Roman" w:hAnsi="Times New Roman" w:cs="Times New Roman"/>
                <w:b w:val="0"/>
                <w:bCs w:val="0"/>
                <w:sz w:val="24"/>
                <w:szCs w:val="24"/>
              </w:rPr>
              <w:t xml:space="preserve">Анализ текущи</w:t>
            </w:r>
            <w:r>
              <w:rPr>
                <w:rFonts w:ascii="Times New Roman" w:hAnsi="Times New Roman" w:cs="Times New Roman"/>
                <w:b w:val="0"/>
                <w:bCs w:val="0"/>
                <w:sz w:val="24"/>
                <w:szCs w:val="24"/>
              </w:rPr>
              <w:t xml:space="preserve">х процессов и требований, определение потребностей различных подразделений и специалистов. Разработка унифицированных шаблонов для различных типов медицинских документов. Разработка специализированных шаблонов документов по видам медицинской помощи для раз</w:t>
            </w:r>
            <w:r>
              <w:rPr>
                <w:rFonts w:ascii="Times New Roman" w:hAnsi="Times New Roman" w:cs="Times New Roman"/>
                <w:b w:val="0"/>
                <w:bCs w:val="0"/>
                <w:sz w:val="24"/>
                <w:szCs w:val="24"/>
              </w:rPr>
              <w:t xml:space="preserve">личных специальностей. Проведение пилотного тестирования разработанных шаблонов документов в отдельных подразделениях медицинских организаций. Организация образовательных мероприятий для медицинского персонала по работе в МИС с новыми шаблонами документов.</w:t>
            </w:r>
            <w:r>
              <w:rPr>
                <w:sz w:val="24"/>
                <w:szCs w:val="24"/>
              </w:rPr>
            </w:r>
            <w:r>
              <w:rPr>
                <w:sz w:val="24"/>
                <w:szCs w:val="24"/>
              </w:rPr>
            </w:r>
          </w:p>
          <w:p>
            <w:pPr>
              <w:pStyle w:val="859"/>
              <w:numPr>
                <w:ilvl w:val="0"/>
                <w:numId w:val="4"/>
              </w:numPr>
              <w:jc w:val="both"/>
              <w:spacing w:before="0" w:after="0" w:line="240" w:lineRule="auto"/>
              <w:widowControl w:val="off"/>
              <w:rPr>
                <w:sz w:val="24"/>
                <w:szCs w:val="24"/>
              </w:rPr>
            </w:pPr>
            <w:r>
              <w:rPr>
                <w:rFonts w:ascii="Times New Roman" w:hAnsi="Times New Roman" w:cs="Times New Roman"/>
                <w:sz w:val="24"/>
                <w:szCs w:val="24"/>
              </w:rPr>
              <w:t xml:space="preserve">Реализация и пилотное тестирование первой подсистемы – «Региональный каталогизированного реестр ме</w:t>
            </w:r>
            <w:r>
              <w:rPr>
                <w:rFonts w:ascii="Times New Roman" w:hAnsi="Times New Roman" w:cs="Times New Roman"/>
                <w:sz w:val="24"/>
                <w:szCs w:val="24"/>
              </w:rPr>
              <w:t xml:space="preserve">дицинских потребностей» для медицинских организаций и внешних, обеспечивающее централизованное хранение данных, прозрачность операций, распределённый доступ с различными уровнями прав и возможность внесения изменений в соответствии с полномочиями и по техн</w:t>
            </w:r>
            <w:r>
              <w:rPr>
                <w:rFonts w:ascii="Times New Roman" w:hAnsi="Times New Roman" w:cs="Times New Roman"/>
                <w:sz w:val="24"/>
                <w:szCs w:val="24"/>
              </w:rPr>
              <w:t xml:space="preserve">ическому регламенту изменения по обращениям. Разработка REST API для интеграции со сторонними информационными системами с целью синхронизации данных.  Внедрение в опытно промышленную эксплуатацию подсистемы в гибридном варианте процесса сбора потребностей.</w:t>
            </w:r>
            <w:r>
              <w:rPr>
                <w:sz w:val="24"/>
                <w:szCs w:val="24"/>
              </w:rPr>
            </w:r>
            <w:r>
              <w:rPr>
                <w:sz w:val="24"/>
                <w:szCs w:val="24"/>
              </w:rPr>
            </w:r>
          </w:p>
          <w:p>
            <w:pPr>
              <w:pStyle w:val="859"/>
              <w:numPr>
                <w:ilvl w:val="0"/>
                <w:numId w:val="4"/>
              </w:numPr>
              <w:jc w:val="both"/>
              <w:spacing w:before="0" w:after="0" w:line="240" w:lineRule="auto"/>
              <w:widowControl w:val="off"/>
              <w:rPr>
                <w:sz w:val="24"/>
                <w:szCs w:val="24"/>
              </w:rPr>
            </w:pPr>
            <w:r>
              <w:rPr>
                <w:rFonts w:ascii="Times New Roman" w:hAnsi="Times New Roman" w:cs="Times New Roman"/>
                <w:sz w:val="24"/>
                <w:szCs w:val="24"/>
              </w:rPr>
              <w:t xml:space="preserve">Проведение комплексного патоморфологического исследования биопсийного материала для выявлен</w:t>
            </w:r>
            <w:r>
              <w:rPr>
                <w:rFonts w:ascii="Times New Roman" w:hAnsi="Times New Roman" w:cs="Times New Roman"/>
                <w:sz w:val="24"/>
                <w:szCs w:val="24"/>
              </w:rPr>
              <w:t xml:space="preserve">ия нестабильности генома и особенностей молекулярно-генетических механизмов прогрессии хронических воспалительных заболеваний слизистой оболочки ЖКТ имеющих высокий риск опухолевой трансформации. Создание региональной информационной базы данных пациентов с</w:t>
            </w:r>
            <w:r>
              <w:rPr>
                <w:rFonts w:ascii="Times New Roman" w:hAnsi="Times New Roman" w:cs="Times New Roman"/>
                <w:sz w:val="24"/>
                <w:szCs w:val="24"/>
              </w:rPr>
              <w:t xml:space="preserve"> хроническими воспалительными заболеваниями слизистой оболочки ЖКТ имеющих высокий риск опухолевой трансформации. Разработка персонифицированной системы оценки рисков прогрессирования и опухолевой трансформации для пациентов с хроническими воспалительными </w:t>
            </w:r>
            <w:r>
              <w:rPr>
                <w:rFonts w:ascii="Times New Roman" w:hAnsi="Times New Roman" w:cs="Times New Roman"/>
                <w:sz w:val="24"/>
                <w:szCs w:val="24"/>
              </w:rPr>
              <w:t xml:space="preserve">заболеваниями ЖКТ. Разработка методических рекомендаций и унифицированных требований по организации и контролю качества всех этапов диагностического процесса при исследовании эндоскопических биопсий ЖКТ для сотрудников региональных медицинских организаций.</w:t>
            </w:r>
            <w:r>
              <w:rPr>
                <w:sz w:val="24"/>
                <w:szCs w:val="24"/>
              </w:rPr>
            </w:r>
            <w:r>
              <w:rPr>
                <w:sz w:val="24"/>
                <w:szCs w:val="24"/>
              </w:rPr>
            </w:r>
          </w:p>
          <w:p>
            <w:pPr>
              <w:pStyle w:val="859"/>
              <w:numPr>
                <w:ilvl w:val="0"/>
                <w:numId w:val="4"/>
              </w:numPr>
              <w:jc w:val="both"/>
              <w:spacing w:before="0" w:after="0" w:line="240" w:lineRule="auto"/>
              <w:widowControl w:val="off"/>
              <w:rPr>
                <w:sz w:val="24"/>
                <w:szCs w:val="24"/>
              </w:rPr>
            </w:pPr>
            <w:r>
              <w:rPr>
                <w:rFonts w:ascii="Times New Roman" w:hAnsi="Times New Roman" w:cs="Times New Roman"/>
                <w:sz w:val="24"/>
                <w:szCs w:val="24"/>
              </w:rPr>
              <w:t xml:space="preserve">Разработка химических технологий получения соединений магния из минерала бишофит. Разработка мягких лекарств</w:t>
            </w:r>
            <w:r>
              <w:rPr>
                <w:rFonts w:ascii="Times New Roman" w:hAnsi="Times New Roman" w:cs="Times New Roman"/>
                <w:sz w:val="24"/>
                <w:szCs w:val="24"/>
              </w:rPr>
              <w:t xml:space="preserve">енных форм на основе бишофита для местного применения при воспалительных заболеваниях мягких тканей и слизистых облочек. Разработка жидких лекарственных форм бишофита и бишофита, очищенного от солей тяжелых металов, для внутреннего применения с целью профи</w:t>
            </w:r>
            <w:r>
              <w:rPr>
                <w:rFonts w:ascii="Times New Roman" w:hAnsi="Times New Roman" w:cs="Times New Roman"/>
                <w:sz w:val="24"/>
                <w:szCs w:val="24"/>
              </w:rPr>
              <w:t xml:space="preserve">лактики обострения хронических заболеваний ЖКТ, коррекции дефицита магния в организме, а также других макро– и микроэлементов. Разработка биологически-активных добавок на основе бишофита с добавлением различных нутриентов. Разработка составов средств параф</w:t>
            </w:r>
            <w:r>
              <w:rPr>
                <w:rFonts w:ascii="Times New Roman" w:hAnsi="Times New Roman" w:cs="Times New Roman"/>
                <w:sz w:val="24"/>
                <w:szCs w:val="24"/>
              </w:rPr>
              <w:t xml:space="preserve">армацевтического и парфюмерно-косметического ассортимента. Разработка средств с противовоспалительными и антисептическими свойствами для ускорения реабилитации пациентов стоматологического, акушерско-гинекологического, дерматологического, ЛОР-профиля и др.</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1.4.</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Современное состояние исследований по проблематике проекта, основные направления исследований в мировой науке</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I.</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В 60-х годах прошлого века в нашей стране была сформирована собственная научная школа и рынок самых разнообразных программных продуктов,</w:t>
            </w:r>
            <w:r>
              <w:rPr>
                <w:rFonts w:ascii="Times New Roman" w:hAnsi="Times New Roman" w:cs="Times New Roman"/>
                <w:sz w:val="24"/>
                <w:szCs w:val="24"/>
                <w:lang w:eastAsia="ru-RU"/>
              </w:rPr>
              <w:t xml:space="preserve"> предназначенных для применения в медицине и здравоохранении. Начиная с 2011 г. был реализован ряд крупных федеральных проектов в сфере информатизации здравоохранения, которые позволили обеспечить инфраструктурное и базовое обеспечение оборудованием, канал</w:t>
            </w:r>
            <w:r>
              <w:rPr>
                <w:rFonts w:ascii="Times New Roman" w:hAnsi="Times New Roman" w:cs="Times New Roman"/>
                <w:sz w:val="24"/>
                <w:szCs w:val="24"/>
                <w:lang w:eastAsia="ru-RU"/>
              </w:rPr>
              <w:t xml:space="preserve">ами связи и программным обеспечением большую долю медицинских организаций, соединить их в единую защищенную информационную сеть и обеспечить обмен и накопление данных о работе системы здравоохранения РФ (Гусев А.В. и др., 2021). В европейских странах с раз</w:t>
            </w:r>
            <w:r>
              <w:rPr>
                <w:rFonts w:ascii="Times New Roman" w:hAnsi="Times New Roman" w:cs="Times New Roman"/>
                <w:sz w:val="24"/>
                <w:szCs w:val="24"/>
                <w:lang w:eastAsia="ru-RU"/>
              </w:rPr>
              <w:t xml:space="preserve">витой системой здравоохранения ведущим направлением в построении трансграничного электронного здравоохранения являются инновационные технологии и передовые решения, направленные на усовершенствование взаимодействия медицинских систем: Электронная медицинск</w:t>
            </w:r>
            <w:r>
              <w:rPr>
                <w:rFonts w:ascii="Times New Roman" w:hAnsi="Times New Roman" w:cs="Times New Roman"/>
                <w:sz w:val="24"/>
                <w:szCs w:val="24"/>
                <w:lang w:eastAsia="ru-RU"/>
              </w:rPr>
              <w:t xml:space="preserve">ая карта (англ. Electronic Health Record, EHR), Обмен медицинской информацией (англ. Health Information Exchange, HIE), Телемедицинские технологии (англ. Telehealth) и Личные медицинские записи (англ. Personal Health Record, PHR) (Минаев П.В. и др., 2021).</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В настоящий момент сформулированы следующие проблемы внедрения МИС в медицинские организации: разработка новых платформ и технологий для интеграции МИС в клиническую практику, исследование возможностей использования искусственного интелле</w:t>
            </w:r>
            <w:r>
              <w:rPr>
                <w:rFonts w:ascii="Times New Roman" w:hAnsi="Times New Roman" w:cs="Times New Roman"/>
                <w:sz w:val="24"/>
                <w:szCs w:val="24"/>
                <w:lang w:eastAsia="ru-RU"/>
              </w:rPr>
              <w:t xml:space="preserve">кта и машинного обучения для улучшения диагностики и лечения пациентов, внедрение блокчейн-технологий для обеспечения безопасности данных и прозрачности процессов. Отдельно выделены проблемы интероперабельности и стандартизации: анализ существующих стандар</w:t>
            </w:r>
            <w:r>
              <w:rPr>
                <w:rFonts w:ascii="Times New Roman" w:hAnsi="Times New Roman" w:cs="Times New Roman"/>
                <w:sz w:val="24"/>
                <w:szCs w:val="24"/>
                <w:lang w:eastAsia="ru-RU"/>
              </w:rPr>
              <w:t xml:space="preserve">тов обмена данными между различными системами здравоохранения, исследования по улучшению совместимости различных программных решений и оборудования, оценка эффективности международных инициатив по созданию единых стандартов передачи медицинской информации.</w:t>
            </w:r>
            <w:r>
              <w:rPr>
                <w:sz w:val="24"/>
                <w:szCs w:val="24"/>
              </w:rPr>
            </w:r>
            <w:r>
              <w:rPr>
                <w:sz w:val="24"/>
                <w:szCs w:val="24"/>
              </w:rPr>
            </w:r>
          </w:p>
          <w:p>
            <w:pPr>
              <w:pStyle w:val="859"/>
              <w:ind w:right="0" w:firstLine="709"/>
              <w:jc w:val="both"/>
              <w:spacing w:before="0" w:after="0" w:line="240" w:lineRule="auto"/>
              <w:widowControl w:val="off"/>
              <w:rPr>
                <w:sz w:val="24"/>
                <w:szCs w:val="24"/>
              </w:rPr>
            </w:pPr>
            <w:r>
              <w:rPr>
                <w:sz w:val="24"/>
                <w:szCs w:val="24"/>
              </w:rPr>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II.</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eastAsia="Times New Roman" w:cs="Times New Roman"/>
                <w:color w:val="auto"/>
                <w:sz w:val="24"/>
                <w:szCs w:val="24"/>
                <w:lang w:val="ru-RU" w:eastAsia="ru-RU" w:bidi="ar-SA"/>
              </w:rPr>
              <w:t xml:space="preserve">Современные исследования в области автоматизации управления потребностями организаций продолжают развивать подходы к решению одно</w:t>
            </w:r>
            <w:r>
              <w:rPr>
                <w:rFonts w:ascii="Times New Roman" w:hAnsi="Times New Roman" w:eastAsia="Times New Roman" w:cs="Times New Roman"/>
                <w:color w:val="auto"/>
                <w:sz w:val="24"/>
                <w:szCs w:val="24"/>
                <w:lang w:val="ru-RU" w:eastAsia="ru-RU" w:bidi="ar-SA"/>
              </w:rPr>
              <w:t xml:space="preserve">й из старейших задач оптимизации в сфере компьютерных технологий — задачи рационального распределения ограниченных ресурсов. Исторически эта проблема сформировала основу многих методов операционного исследования, а в современных условиях она интегрируется </w:t>
            </w:r>
            <w:r>
              <w:rPr>
                <w:rFonts w:ascii="Times New Roman" w:hAnsi="Times New Roman" w:eastAsia="Times New Roman" w:cs="Times New Roman"/>
                <w:color w:val="auto"/>
                <w:sz w:val="24"/>
                <w:szCs w:val="24"/>
                <w:lang w:val="ru-RU" w:eastAsia="ru-RU" w:bidi="ar-SA"/>
              </w:rPr>
              <w:t xml:space="preserve">с аналитическими инструментами и технологиями искусственного интеллекта. Прогнозирование спроса, анализ данных и внедрение методов визуализации через бизнес-аналитику (BI) обеспечивают адаптивность и прозрачность управления, что позволяет не только операти</w:t>
            </w:r>
            <w:r>
              <w:rPr>
                <w:rFonts w:ascii="Times New Roman" w:hAnsi="Times New Roman" w:eastAsia="Times New Roman" w:cs="Times New Roman"/>
                <w:color w:val="auto"/>
                <w:sz w:val="24"/>
                <w:szCs w:val="24"/>
                <w:lang w:val="ru-RU" w:eastAsia="ru-RU" w:bidi="ar-SA"/>
              </w:rPr>
              <w:t xml:space="preserve">вно реагировать на изменения, но и эффективно распределять ресурсы даже в условиях высокой неопределенности. Особое значение такие подходы приобретают в медицинской сфере, где рациональное управление ресурсами напрямую влияет на качество оказываемых услуг.</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eastAsia="Times New Roman" w:cs="Times New Roman"/>
                <w:color w:val="auto"/>
                <w:sz w:val="24"/>
                <w:szCs w:val="24"/>
                <w:lang w:val="ru-RU" w:eastAsia="ru-RU" w:bidi="ar-SA"/>
              </w:rPr>
              <w:t xml:space="preserve">В международной практике отмечается рост использования Lean-технологий и принципов бережл</w:t>
            </w:r>
            <w:r>
              <w:rPr>
                <w:rFonts w:ascii="Times New Roman" w:hAnsi="Times New Roman" w:eastAsia="Times New Roman" w:cs="Times New Roman"/>
                <w:color w:val="auto"/>
                <w:sz w:val="24"/>
                <w:szCs w:val="24"/>
                <w:lang w:val="ru-RU" w:eastAsia="ru-RU" w:bidi="ar-SA"/>
              </w:rPr>
              <w:t xml:space="preserve">ивого производства для минимизации издержек и повышения эффективности взаимодействия с поставщиками. Современные BI-системы и технологии блокчейна создают условия для повышения прозрачности процессов управления и доверия между участниками цепочек поставок.</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eastAsia="Times New Roman" w:cs="Times New Roman"/>
                <w:color w:val="auto"/>
                <w:sz w:val="24"/>
                <w:szCs w:val="24"/>
                <w:lang w:val="ru-RU" w:eastAsia="ru-RU" w:bidi="ar-SA"/>
              </w:rPr>
              <w:t xml:space="preserve">Однако использование указанных технологий на уровне всего региона, где в единую систему объединяются администрации, медицинские организации и поставщики, представляет собой новую задачу, выходящую за </w:t>
            </w:r>
            <w:r>
              <w:rPr>
                <w:rFonts w:ascii="Times New Roman" w:hAnsi="Times New Roman" w:eastAsia="Times New Roman" w:cs="Times New Roman"/>
                <w:color w:val="auto"/>
                <w:sz w:val="24"/>
                <w:szCs w:val="24"/>
                <w:lang w:val="ru-RU" w:eastAsia="ru-RU" w:bidi="ar-SA"/>
              </w:rPr>
              <w:t xml:space="preserve">рамки классической автоматизации отдельных процессов. Здесь акцент делается на интеграцию не только технологий BI, машинного обучения и бережливого производства, но и на синхронизацию взаимодействия всех участников технической и одновременно организационно</w:t>
            </w:r>
            <w:r>
              <w:rPr>
                <w:rFonts w:ascii="Times New Roman" w:hAnsi="Times New Roman" w:eastAsia="Times New Roman" w:cs="Times New Roman"/>
                <w:color w:val="auto"/>
                <w:sz w:val="24"/>
                <w:szCs w:val="24"/>
                <w:lang w:val="ru-RU" w:eastAsia="ru-RU" w:bidi="ar-SA"/>
              </w:rPr>
              <w:t xml:space="preserve">й системы. Это требует учета многоуровневых связей, региональной специфики и необходимости управления распределением ресурсов (оптимизация сверху вниз) в масштабах, ранее не рассматривавшихся в рамках классических подходов. Таким образом, проект по создани</w:t>
            </w:r>
            <w:r>
              <w:rPr>
                <w:rFonts w:ascii="Times New Roman" w:hAnsi="Times New Roman" w:eastAsia="Times New Roman" w:cs="Times New Roman"/>
                <w:color w:val="auto"/>
                <w:sz w:val="24"/>
                <w:szCs w:val="24"/>
                <w:lang w:val="ru-RU" w:eastAsia="ru-RU" w:bidi="ar-SA"/>
              </w:rPr>
              <w:t xml:space="preserve">ю такой системы становится инновационным вызовом, который требует междисциплинарных решений и использования современных достижений науки по направлению организации здравоохранения и системного анализа, управления и обработка информации, а также статистики.</w:t>
            </w:r>
            <w:r>
              <w:rPr>
                <w:sz w:val="24"/>
                <w:szCs w:val="24"/>
              </w:rPr>
            </w:r>
            <w:r>
              <w:rPr>
                <w:sz w:val="24"/>
                <w:szCs w:val="24"/>
              </w:rPr>
            </w:r>
          </w:p>
          <w:p>
            <w:pPr>
              <w:pStyle w:val="859"/>
              <w:ind w:right="0" w:firstLine="709"/>
              <w:jc w:val="both"/>
              <w:spacing w:before="0" w:after="0" w:line="240" w:lineRule="auto"/>
              <w:widowControl w:val="off"/>
              <w:rPr>
                <w:rFonts w:ascii="Times New Roman" w:hAnsi="Times New Roman" w:eastAsia="Times New Roman" w:cs="Times New Roman"/>
                <w:color w:val="auto"/>
                <w:sz w:val="24"/>
                <w:szCs w:val="24"/>
                <w:lang w:val="ru-RU" w:eastAsia="ru-RU" w:bidi="ar-SA"/>
              </w:rPr>
            </w:pPr>
            <w:r>
              <w:rPr>
                <w:rFonts w:ascii="Times New Roman" w:hAnsi="Times New Roman" w:eastAsia="Times New Roman" w:cs="Times New Roman"/>
                <w:color w:val="auto"/>
                <w:sz w:val="24"/>
                <w:szCs w:val="24"/>
                <w:lang w:val="ru-RU" w:eastAsia="ru-RU" w:bidi="ar-SA"/>
              </w:rPr>
            </w:r>
            <w:r>
              <w:rPr>
                <w:rFonts w:ascii="Times New Roman" w:hAnsi="Times New Roman" w:eastAsia="Times New Roman" w:cs="Times New Roman"/>
                <w:color w:val="auto"/>
                <w:sz w:val="24"/>
                <w:szCs w:val="24"/>
                <w:lang w:val="ru-RU" w:eastAsia="ru-RU" w:bidi="ar-SA"/>
              </w:rPr>
            </w:r>
            <w:r>
              <w:rPr>
                <w:rFonts w:ascii="Times New Roman" w:hAnsi="Times New Roman" w:eastAsia="Times New Roman" w:cs="Times New Roman"/>
                <w:color w:val="auto"/>
                <w:sz w:val="24"/>
                <w:szCs w:val="24"/>
                <w:lang w:val="ru-RU" w:eastAsia="ru-RU" w:bidi="ar-SA"/>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III.</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В ходе посл</w:t>
            </w:r>
            <w:r>
              <w:rPr>
                <w:rFonts w:ascii="Times New Roman" w:hAnsi="Times New Roman" w:cs="Times New Roman"/>
                <w:sz w:val="24"/>
                <w:szCs w:val="24"/>
                <w:lang w:eastAsia="ru-RU"/>
              </w:rPr>
              <w:t xml:space="preserve">ания Федеральному Собранию России президент Владимир Владимирович Путин подчеркнул, что именно сбережение и приумножение народа нашей страны - это главная цель на сегодня. «Судьба России зависит от того, сколько нас будет». Таким образом, не только повышен</w:t>
            </w:r>
            <w:r>
              <w:rPr>
                <w:rFonts w:ascii="Times New Roman" w:hAnsi="Times New Roman" w:cs="Times New Roman"/>
                <w:sz w:val="24"/>
                <w:szCs w:val="24"/>
                <w:lang w:eastAsia="ru-RU"/>
              </w:rPr>
              <w:t xml:space="preserve">ие рождаемости, но и снижение смертности (в т.ч. трудоспособного населения) являются приоритетными задачами регионального здравоохранения. Снижение показателей смертности от злокачественных новообразований органов пищеварения в РФ является важной задачей, </w:t>
            </w:r>
            <w:r>
              <w:rPr>
                <w:rFonts w:ascii="Times New Roman" w:hAnsi="Times New Roman" w:cs="Times New Roman"/>
                <w:sz w:val="24"/>
                <w:szCs w:val="24"/>
                <w:lang w:eastAsia="ru-RU"/>
              </w:rPr>
              <w:t xml:space="preserve">стоящей перед здравоохранением в т.ч. Волгоградской области. Для решения данной задачи необходима качественная клинико-морфологическая диагностики не только злокачественных опухолей желудочно-кишечного тракта не ранних этапах, но и диагностика заболеваний </w:t>
            </w:r>
            <w:r>
              <w:rPr>
                <w:rFonts w:ascii="Times New Roman" w:hAnsi="Times New Roman" w:cs="Times New Roman"/>
                <w:sz w:val="24"/>
                <w:szCs w:val="24"/>
              </w:rPr>
              <w:t xml:space="preserve">с потенциально высоким риском опухолевой трансформации.</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К факторам риска, способствующим возникновению злокачественных новообразований (ЗНО) желудка, относят наследственную предрасположенность, А(II) группу крови, низкий социально-экономический уровень, зл</w:t>
            </w:r>
            <w:r>
              <w:rPr>
                <w:rFonts w:ascii="Times New Roman" w:hAnsi="Times New Roman" w:cs="Times New Roman"/>
                <w:sz w:val="24"/>
                <w:szCs w:val="24"/>
                <w:lang w:eastAsia="ru-RU"/>
              </w:rPr>
              <w:t xml:space="preserve">оупотребление алкоголем и курение, недостаточное употребление свежих овощей и фруктов (дефицит витамина С), избыточное потребление поваренной соли, высокое содержание нитратов в продуктах питания, приводящих к образованию нитрозаминов из белков пищи и друг</w:t>
            </w:r>
            <w:r>
              <w:rPr>
                <w:rFonts w:ascii="Times New Roman" w:hAnsi="Times New Roman" w:cs="Times New Roman"/>
                <w:sz w:val="24"/>
                <w:szCs w:val="24"/>
                <w:lang w:eastAsia="ru-RU"/>
              </w:rPr>
              <w:t xml:space="preserve">их канцерогенных веществ (например, 3,4-бензпиренов, выделяющихся при копчении мясных и рыбных продуктов). Однако самым важным фактором риска развития ЗНО желудка является инфекция Helicobacter pylori [Pham T.M., 2016; Toyoshima O., 2020; Chen Y.C., 2024].</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К предопухолевым заболевания</w:t>
            </w:r>
            <w:r>
              <w:rPr>
                <w:rFonts w:ascii="Times New Roman" w:hAnsi="Times New Roman" w:cs="Times New Roman"/>
                <w:sz w:val="24"/>
                <w:szCs w:val="24"/>
                <w:lang w:eastAsia="ru-RU"/>
              </w:rPr>
              <w:t xml:space="preserve">м желудка относят хронический неатрофический H. рylori-ассоцированный гастрит, мультифокальный хронический атрофический гастрит, кишечную метаплазию эпителия слизистой оболочки желудка, интраэпителиальную неоплазию низкой степени (слабую дисплазию эпителия</w:t>
            </w:r>
            <w:r>
              <w:rPr>
                <w:rFonts w:ascii="Times New Roman" w:hAnsi="Times New Roman" w:cs="Times New Roman"/>
                <w:sz w:val="24"/>
                <w:szCs w:val="24"/>
                <w:lang w:eastAsia="ru-RU"/>
              </w:rPr>
              <w:t xml:space="preserve">, дисплазию I-II) и интраэпителиальную неоплазию высокой степени (тяжелую дисплазию эпителия, дисплазию III). Риск малигнизации каждого из этих патологических состояний различен. Частота развития рака желудка на фоне неатрофического гастрита составляет 0,8</w:t>
            </w:r>
            <w:r>
              <w:rPr>
                <w:rFonts w:ascii="Times New Roman" w:hAnsi="Times New Roman" w:cs="Times New Roman"/>
                <w:sz w:val="24"/>
                <w:szCs w:val="24"/>
                <w:lang w:eastAsia="ru-RU"/>
              </w:rPr>
              <w:t xml:space="preserve"> %, для атрофического гастрита она уже значительно выше – 1,8 %, а на фоне кишечной метаплазии аденокарцинома желудка развивается, в среднем, в 4 % случаев. Интраэпителиальная неоплазия низкой степени уже является облигатным предраковым состоянием, риск ее</w:t>
            </w:r>
            <w:r>
              <w:rPr>
                <w:rFonts w:ascii="Times New Roman" w:hAnsi="Times New Roman" w:cs="Times New Roman"/>
                <w:sz w:val="24"/>
                <w:szCs w:val="24"/>
                <w:lang w:eastAsia="ru-RU"/>
              </w:rPr>
              <w:t xml:space="preserve"> озлокачествления составляет 33%. Интраэпителиальная неоплазия высокой степени, согласно современным представлениям, обозначается уже как cancer in situ [Ивашкин В.Т., 2017; Malferheiner P., 2017]. К другим заболеваниям, на фоне которых чаще развивается РЖ</w:t>
            </w:r>
            <w:r>
              <w:rPr>
                <w:rFonts w:ascii="Times New Roman" w:hAnsi="Times New Roman" w:cs="Times New Roman"/>
                <w:sz w:val="24"/>
                <w:szCs w:val="24"/>
                <w:lang w:eastAsia="ru-RU"/>
              </w:rPr>
              <w:t xml:space="preserve">, относятся аутоиммунный гастрит (часто у больных с В12-дефицитной анемией), полипоз желудка (особенно аденоматозные полипы); гастрит культи желудка у пациентов, перенесших операцию резекции желудка (обычно по поводу язвенной болезни) [Ивашкин В.Т., 2019].</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Наиболее распространенным методом морфологической диагностики при эндоскопических биопсиях слизистой оболочки ЖКТ является рутинное гистологическое исследование, при котором диагностируют воспалительные изменения (без типи</w:t>
            </w:r>
            <w:r>
              <w:rPr>
                <w:rFonts w:ascii="Times New Roman" w:hAnsi="Times New Roman" w:cs="Times New Roman"/>
                <w:sz w:val="24"/>
                <w:szCs w:val="24"/>
              </w:rPr>
              <w:t xml:space="preserve">рования возбудителя воспаления), нарушения кровообращения, некротические изменения, атрофию и метаплазию [Кузин М.Н., 2014]. Однако молекулярно-генетические особенности клеток слизистой оболочки ЖКТ остаются в не фокуса внимания патоморфолога и клинициста.</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rPr>
              <w:t xml:space="preserve">Достижения в молекулярной биологии и генетике позволили разработать высокоэффективные методы для диагностики состояний предшествующих опухолевой трансформации при которых </w:t>
            </w:r>
            <w:r>
              <w:rPr>
                <w:rFonts w:ascii="Times New Roman" w:hAnsi="Times New Roman" w:cs="Times New Roman"/>
                <w:sz w:val="24"/>
                <w:szCs w:val="24"/>
              </w:rPr>
              <w:t xml:space="preserve">определяются различные варианты мутаций (точечные, хромосомные, геномные), микросателлитная нестабильность, нестабильность генома при нарушениях работы систем репарации ДНК, блокирование контроля пролиферативной активности и апоптоза [Данилова Н.В., 2022].</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С учетом вышеизложенного для повышения эффективности клинико-морфологической диагностики </w:t>
            </w:r>
            <w:r>
              <w:rPr>
                <w:rFonts w:ascii="Times New Roman" w:hAnsi="Times New Roman" w:cs="Times New Roman"/>
                <w:sz w:val="24"/>
                <w:szCs w:val="24"/>
              </w:rPr>
              <w:t xml:space="preserve">хронических воспалительных заболеваний желудочно-кишечного тракта с потенциально высоким риском опухолевой трансформации</w:t>
            </w:r>
            <w:r>
              <w:rPr>
                <w:rFonts w:ascii="Times New Roman" w:hAnsi="Times New Roman" w:cs="Times New Roman"/>
                <w:sz w:val="24"/>
                <w:szCs w:val="24"/>
                <w:lang w:eastAsia="ru-RU"/>
              </w:rPr>
              <w:t xml:space="preserve"> в Волгоградской области необходимо совместное использование рутинных гистологических и молекулярно-генетических методов исследования, что позволит выявить группы риска пациентов с учетом региональных особенностей.</w:t>
            </w:r>
            <w:r>
              <w:rPr>
                <w:sz w:val="24"/>
                <w:szCs w:val="24"/>
              </w:rPr>
            </w:r>
            <w:r>
              <w:rPr>
                <w:sz w:val="24"/>
                <w:szCs w:val="24"/>
              </w:rPr>
            </w:r>
          </w:p>
          <w:p>
            <w:pPr>
              <w:pStyle w:val="859"/>
              <w:ind w:right="0" w:firstLine="709"/>
              <w:jc w:val="both"/>
              <w:spacing w:before="0" w:after="0" w:line="240" w:lineRule="auto"/>
              <w:widowControl w:val="off"/>
              <w:rPr>
                <w:sz w:val="24"/>
                <w:szCs w:val="24"/>
              </w:rPr>
            </w:pPr>
            <w:r>
              <w:rPr>
                <w:sz w:val="24"/>
                <w:szCs w:val="24"/>
              </w:rPr>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eastAsia="Times New Roman" w:cs="Times New Roman"/>
                <w:color w:val="000000"/>
                <w:sz w:val="24"/>
                <w:szCs w:val="24"/>
                <w:shd w:val="clear" w:color="auto" w:fill="auto"/>
                <w:lang w:val="ru-RU" w:eastAsia="zh-CN" w:bidi="ar-SA"/>
              </w:rPr>
              <w:t xml:space="preserve">IV.</w:t>
            </w:r>
            <w:r>
              <w:rPr>
                <w:sz w:val="24"/>
                <w:szCs w:val="24"/>
              </w:rPr>
            </w:r>
            <w:r>
              <w:rPr>
                <w:sz w:val="24"/>
                <w:szCs w:val="24"/>
              </w:rPr>
            </w:r>
          </w:p>
          <w:p>
            <w:pPr>
              <w:pStyle w:val="859"/>
              <w:ind w:right="57" w:firstLine="737"/>
              <w:jc w:val="both"/>
              <w:spacing w:before="0" w:after="0" w:line="240" w:lineRule="auto"/>
              <w:widowControl w:val="off"/>
              <w:rPr>
                <w:sz w:val="24"/>
                <w:szCs w:val="24"/>
              </w:rPr>
            </w:pPr>
            <w:r>
              <w:rPr>
                <w:rFonts w:ascii="Times New Roman" w:hAnsi="Times New Roman" w:eastAsia="Times New Roman" w:cs="Times New Roman"/>
                <w:color w:val="000000"/>
                <w:sz w:val="24"/>
                <w:szCs w:val="24"/>
                <w:shd w:val="clear" w:color="auto" w:fill="auto"/>
                <w:lang w:val="ru-RU" w:eastAsia="zh-CN" w:bidi="ar-SA"/>
              </w:rPr>
              <w:t xml:space="preserve">Многие факторы могут изменить баланс магния: высокое содержание в рационе Na, Ca, белка, алкоголя или кофеина, или использование определенных препаратов (диуретики, ингибиторы протонной помпы и т. д.).</w:t>
            </w:r>
            <w:r>
              <w:rPr>
                <w:sz w:val="24"/>
                <w:szCs w:val="24"/>
              </w:rPr>
            </w:r>
            <w:r>
              <w:rPr>
                <w:sz w:val="24"/>
                <w:szCs w:val="24"/>
              </w:rPr>
            </w:r>
          </w:p>
          <w:p>
            <w:pPr>
              <w:pStyle w:val="859"/>
              <w:ind w:right="57" w:firstLine="737"/>
              <w:jc w:val="both"/>
              <w:spacing w:before="0" w:after="0" w:line="240" w:lineRule="auto"/>
              <w:widowControl w:val="off"/>
              <w:rPr>
                <w:sz w:val="24"/>
                <w:szCs w:val="24"/>
              </w:rPr>
            </w:pPr>
            <w:r>
              <w:rPr>
                <w:rFonts w:ascii="Times New Roman" w:hAnsi="Times New Roman" w:eastAsia="Times New Roman" w:cs="Times New Roman"/>
                <w:color w:val="000000"/>
                <w:sz w:val="24"/>
                <w:szCs w:val="24"/>
                <w:shd w:val="clear" w:color="auto" w:fill="auto"/>
                <w:lang w:val="ru-RU" w:eastAsia="zh-CN" w:bidi="ar-SA"/>
              </w:rPr>
              <w:t xml:space="preserve">Cреднее потребление магния в рационе часто неадекватно и значительно ниже рекомендуемого ежедневного потребления. Процессы приготовления и переработки пищевых продуктов </w:t>
            </w:r>
            <w:r>
              <w:rPr>
                <w:rFonts w:ascii="Times New Roman" w:hAnsi="Times New Roman" w:eastAsia="Times New Roman" w:cs="Times New Roman"/>
                <w:color w:val="000000"/>
                <w:sz w:val="24"/>
                <w:szCs w:val="24"/>
                <w:shd w:val="clear" w:color="auto" w:fill="auto"/>
                <w:lang w:val="ru-RU" w:eastAsia="zh-CN" w:bidi="ar-SA"/>
              </w:rPr>
              <w:t xml:space="preserve">могут последовательно уменьшать содержание магния, поскольку значительное количество микроэлемента теряется во время этих процедур. Таким образом, диеты, богатые рафинированными или обработанными продуктами, скорее всего, будут с низким содержанием магния.</w:t>
            </w:r>
            <w:r>
              <w:rPr>
                <w:sz w:val="24"/>
                <w:szCs w:val="24"/>
              </w:rPr>
            </w:r>
            <w:r>
              <w:rPr>
                <w:sz w:val="24"/>
                <w:szCs w:val="24"/>
              </w:rPr>
            </w:r>
          </w:p>
          <w:p>
            <w:pPr>
              <w:pStyle w:val="859"/>
              <w:ind w:right="57" w:firstLine="737"/>
              <w:jc w:val="both"/>
              <w:spacing w:before="0" w:after="0" w:line="240" w:lineRule="auto"/>
              <w:widowControl w:val="off"/>
              <w:rPr>
                <w:sz w:val="24"/>
                <w:szCs w:val="24"/>
              </w:rPr>
            </w:pPr>
            <w:r>
              <w:rPr>
                <w:rFonts w:ascii="Times New Roman" w:hAnsi="Times New Roman" w:eastAsia="Times New Roman" w:cs="Times New Roman"/>
                <w:color w:val="000000"/>
                <w:sz w:val="24"/>
                <w:szCs w:val="24"/>
                <w:shd w:val="clear" w:color="auto" w:fill="auto"/>
                <w:lang w:val="ru-RU" w:eastAsia="zh-CN" w:bidi="ar-SA"/>
              </w:rPr>
              <w:t xml:space="preserve">Патогенная кишечная микробиота может снизить абсорбцию магния. Глифосат, пестицид, часто используемый в сельскохозяйственных культурах, может хелатировать микроэлементы, что еще больше снижает содержание магния в почве и в некоторых культурах.</w:t>
            </w:r>
            <w:r>
              <w:rPr>
                <w:sz w:val="24"/>
                <w:szCs w:val="24"/>
              </w:rPr>
            </w:r>
            <w:r>
              <w:rPr>
                <w:sz w:val="24"/>
                <w:szCs w:val="24"/>
              </w:rPr>
            </w:r>
          </w:p>
          <w:p>
            <w:pPr>
              <w:pStyle w:val="859"/>
              <w:ind w:right="57" w:firstLine="737"/>
              <w:jc w:val="both"/>
              <w:spacing w:before="0" w:after="0" w:line="240" w:lineRule="auto"/>
              <w:widowControl w:val="off"/>
              <w:rPr>
                <w:sz w:val="24"/>
                <w:szCs w:val="24"/>
              </w:rPr>
            </w:pPr>
            <w:r>
              <w:rPr>
                <w:rFonts w:ascii="Times New Roman" w:hAnsi="Times New Roman" w:eastAsia="Times New Roman" w:cs="Times New Roman"/>
                <w:color w:val="000000"/>
                <w:sz w:val="24"/>
                <w:szCs w:val="24"/>
                <w:shd w:val="clear" w:color="auto" w:fill="auto"/>
                <w:lang w:val="ru-RU" w:eastAsia="zh-CN" w:bidi="ar-SA"/>
              </w:rPr>
              <w:t xml:space="preserve">Данные Национального обследования здоровья и питания (NHANES) III подт</w:t>
            </w:r>
            <w:r>
              <w:rPr>
                <w:rFonts w:ascii="Times New Roman" w:hAnsi="Times New Roman" w:eastAsia="Times New Roman" w:cs="Times New Roman"/>
                <w:color w:val="000000"/>
                <w:sz w:val="24"/>
                <w:szCs w:val="24"/>
                <w:shd w:val="clear" w:color="auto" w:fill="auto"/>
                <w:lang w:val="ru-RU" w:eastAsia="zh-CN" w:bidi="ar-SA"/>
              </w:rPr>
              <w:t xml:space="preserve">вердили, что старение является дополнительным фактором риска для неадекватного потребления Mg и постепенного снижения с возрастом. Вторичный дефицит Mg у пожилых людей может быть связан с наличием нескольких состояний и связанной с ними полифармакотерапии.</w:t>
            </w:r>
            <w:r>
              <w:rPr>
                <w:sz w:val="24"/>
                <w:szCs w:val="24"/>
              </w:rPr>
            </w:r>
            <w:r>
              <w:rPr>
                <w:sz w:val="24"/>
                <w:szCs w:val="24"/>
              </w:rPr>
            </w:r>
          </w:p>
          <w:p>
            <w:pPr>
              <w:pStyle w:val="859"/>
              <w:ind w:right="57" w:firstLine="737"/>
              <w:jc w:val="both"/>
              <w:spacing w:before="0" w:after="0" w:line="240" w:lineRule="auto"/>
              <w:widowControl w:val="off"/>
              <w:rPr>
                <w:sz w:val="24"/>
                <w:szCs w:val="24"/>
              </w:rPr>
            </w:pPr>
            <w:r>
              <w:rPr>
                <w:rFonts w:ascii="Times New Roman" w:hAnsi="Times New Roman" w:eastAsia="Times New Roman" w:cs="Times New Roman"/>
                <w:color w:val="000000"/>
                <w:sz w:val="24"/>
                <w:szCs w:val="24"/>
                <w:shd w:val="clear" w:color="auto" w:fill="auto"/>
                <w:lang w:val="ru-RU" w:eastAsia="zh-CN" w:bidi="ar-SA"/>
              </w:rPr>
              <w:t xml:space="preserve">Был</w:t>
            </w:r>
            <w:r>
              <w:rPr>
                <w:rFonts w:ascii="Times New Roman" w:hAnsi="Times New Roman" w:eastAsia="Times New Roman" w:cs="Times New Roman"/>
                <w:color w:val="000000"/>
                <w:sz w:val="24"/>
                <w:szCs w:val="24"/>
                <w:shd w:val="clear" w:color="auto" w:fill="auto"/>
                <w:lang w:val="ru-RU" w:eastAsia="zh-CN" w:bidi="ar-SA"/>
              </w:rPr>
              <w:t xml:space="preserve">о проведено очень мало долгосрочных продольных слепых исследований о влиянии добавок магния. Возможность того, что поддержание удовлетворительного баланса Mg на протяжении всей жизни может стать экономической и безопасной стратегией для здоровья населения.</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1.5.</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Обоснование необходимости и значимости </w:t>
            </w:r>
            <w:r>
              <w:rPr>
                <w:rFonts w:ascii="Times New Roman" w:hAnsi="Times New Roman" w:cs="Times New Roman"/>
                <w:bCs/>
                <w:sz w:val="24"/>
                <w:szCs w:val="24"/>
                <w:lang w:bidi="en-US"/>
              </w:rPr>
              <w:t xml:space="preserve">фундаментальных и прикладных научных исследований (работ)</w:t>
            </w:r>
            <w:r>
              <w:rPr>
                <w:rFonts w:ascii="Times New Roman" w:hAnsi="Times New Roman" w:cs="Times New Roman"/>
                <w:sz w:val="24"/>
                <w:szCs w:val="24"/>
              </w:rPr>
              <w:t xml:space="preserve"> в целях реализации проекта. Научная и социально-экономическая проблемы, на решение которых направлен проект</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I.</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В задачи регионального здравоохранения на 2025 год входит переход на новую единую МИС. Так же для достижения це</w:t>
            </w:r>
            <w:r>
              <w:rPr>
                <w:rFonts w:ascii="Times New Roman" w:hAnsi="Times New Roman" w:cs="Times New Roman"/>
                <w:sz w:val="24"/>
                <w:szCs w:val="24"/>
                <w:lang w:eastAsia="ru-RU"/>
              </w:rPr>
              <w:t xml:space="preserve">лей национального проекта «Продолжительная и активная жизнь» региональному здравоохранению необходимо обеспечить решение задач, направленных на дальнейшее повышение качества и доступности медицинской помощи. Неисполнение нормативных требований, предъявляем</w:t>
            </w:r>
            <w:r>
              <w:rPr>
                <w:rFonts w:ascii="Times New Roman" w:hAnsi="Times New Roman" w:cs="Times New Roman"/>
                <w:sz w:val="24"/>
                <w:szCs w:val="24"/>
                <w:lang w:eastAsia="ru-RU"/>
              </w:rPr>
              <w:t xml:space="preserve">ых к качеству медицинской помощи, обусловленное высокой интенсивностью труда медицинских работников и сложностью применения информационных технологий, является наиболее частыми видами нарушений, которые допускают медицинские организации по данным Федеральн</w:t>
            </w:r>
            <w:r>
              <w:rPr>
                <w:rFonts w:ascii="Times New Roman" w:hAnsi="Times New Roman" w:cs="Times New Roman"/>
                <w:sz w:val="24"/>
                <w:szCs w:val="24"/>
                <w:lang w:eastAsia="ru-RU"/>
              </w:rPr>
              <w:t xml:space="preserve">ого фонда обязательного медицинского страхования. Создание единых унифицированных шаблонов на региональном уровне позволит повысить эффективность работы медицинского персонала, сократить количество ошибок и обеспечить единые подходы к ведению документации.</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Отдельным направлением проекта будет разработка образовательных программ для подготовки медицинского персонала к работе с новыми унифицированными документами, содержащих автоматизированный образовательный модуль «Обучение и адаптация пользователей».</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Р</w:t>
            </w:r>
            <w:r>
              <w:rPr>
                <w:rFonts w:ascii="Times New Roman" w:hAnsi="Times New Roman" w:cs="Times New Roman"/>
                <w:sz w:val="24"/>
                <w:szCs w:val="24"/>
                <w:lang w:eastAsia="ru-RU"/>
              </w:rPr>
              <w:t xml:space="preserve">езультат проекта позволит реализовать потенциал единой региональной МИС для повышения эффективности здравоохранения и улучшения качества жизни населения Волгоградской области в соответствии с целями Национального проекта «Продолжительная и активная жизнь».</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Планируемые результаты:</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 xml:space="preserve">Создание единых унифицированных форм медицинских документов в региональной МИС.</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 xml:space="preserve">Повышение эффективности работы медицинских организаций за счет оптимизации ведения медицинской документации.</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 xml:space="preserve">Улучшение взаимодействия между различными подразделениями и специалистами медицинских организаций.</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 xml:space="preserve">Создание методических рекомендаций и обучающих модулей для применения единых унифицированных форм медицинских документов в региональной МИС.</w:t>
            </w:r>
            <w:r>
              <w:rPr>
                <w:sz w:val="24"/>
                <w:szCs w:val="24"/>
              </w:rPr>
            </w:r>
            <w:r>
              <w:rPr>
                <w:sz w:val="24"/>
                <w:szCs w:val="24"/>
              </w:rPr>
            </w:r>
          </w:p>
          <w:p>
            <w:pPr>
              <w:pStyle w:val="859"/>
              <w:ind w:right="0" w:firstLine="709"/>
              <w:jc w:val="both"/>
              <w:spacing w:before="0" w:after="0" w:line="240" w:lineRule="auto"/>
              <w:widowControl w:val="off"/>
              <w:rPr>
                <w:sz w:val="24"/>
                <w:szCs w:val="24"/>
              </w:rPr>
            </w:pPr>
            <w:r>
              <w:rPr>
                <w:sz w:val="24"/>
                <w:szCs w:val="24"/>
              </w:rPr>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II.</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eastAsia="Times New Roman" w:cs="Times New Roman"/>
                <w:color w:val="auto"/>
                <w:sz w:val="24"/>
                <w:szCs w:val="24"/>
                <w:lang w:val="ru-RU" w:eastAsia="ru-RU" w:bidi="ar-SA"/>
              </w:rPr>
              <w:t xml:space="preserve">Реализация проекта, направленного на автоматизацию</w:t>
            </w:r>
            <w:r>
              <w:rPr>
                <w:rFonts w:ascii="Times New Roman" w:hAnsi="Times New Roman" w:eastAsia="Times New Roman" w:cs="Times New Roman"/>
                <w:color w:val="auto"/>
                <w:sz w:val="24"/>
                <w:szCs w:val="24"/>
                <w:lang w:val="ru-RU" w:eastAsia="ru-RU" w:bidi="ar-SA"/>
              </w:rPr>
              <w:t xml:space="preserve"> процессов сбора, анализа и управления потребностями, требует научного обоснования и разработки на пересечении двух ключевых направлений: организации здравоохранения и системного анализа, управления и обработки информации, а также статистики. В контексте о</w:t>
            </w:r>
            <w:r>
              <w:rPr>
                <w:rFonts w:ascii="Times New Roman" w:hAnsi="Times New Roman" w:eastAsia="Times New Roman" w:cs="Times New Roman"/>
                <w:color w:val="auto"/>
                <w:sz w:val="24"/>
                <w:szCs w:val="24"/>
                <w:lang w:val="ru-RU" w:eastAsia="ru-RU" w:bidi="ar-SA"/>
              </w:rPr>
              <w:t xml:space="preserve">рганизации здравоохранения фундаментальные исследования позволяют выявить закономерности и принципы рационального управления ресурсами, которые являются основой для формирования современных моделей распределения медицинских ресурсов. Эти исследования обесп</w:t>
            </w:r>
            <w:r>
              <w:rPr>
                <w:rFonts w:ascii="Times New Roman" w:hAnsi="Times New Roman" w:eastAsia="Times New Roman" w:cs="Times New Roman"/>
                <w:color w:val="auto"/>
                <w:sz w:val="24"/>
                <w:szCs w:val="24"/>
                <w:lang w:val="ru-RU" w:eastAsia="ru-RU" w:bidi="ar-SA"/>
              </w:rPr>
              <w:t xml:space="preserve">ечивают теоретическую базу для понимания особенностей работы медицинских организаций, взаимодействия с поставщиками, прогнозирования спроса и решения проблем, связанных с нехваткой или избыточностью ресурсов. Прикладные исследования в данном направлении на</w:t>
            </w:r>
            <w:r>
              <w:rPr>
                <w:rFonts w:ascii="Times New Roman" w:hAnsi="Times New Roman" w:eastAsia="Times New Roman" w:cs="Times New Roman"/>
                <w:color w:val="auto"/>
                <w:sz w:val="24"/>
                <w:szCs w:val="24"/>
                <w:lang w:val="ru-RU" w:eastAsia="ru-RU" w:bidi="ar-SA"/>
              </w:rPr>
              <w:t xml:space="preserve">правлены на разработку практических решений повышения эффективности взаимодействия между участниками цепочек поставок, улучшения планирования процесса закупок и увеличения удовлетворенности медицинских организаций за счет прозрачности и надежности системы.</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eastAsia="Times New Roman" w:cs="Times New Roman"/>
                <w:color w:val="auto"/>
                <w:sz w:val="24"/>
                <w:szCs w:val="24"/>
                <w:lang w:val="ru-RU" w:eastAsia="ru-RU" w:bidi="ar-SA"/>
              </w:rPr>
              <w:t xml:space="preserve">Системный анализ, управление, обработка информации и статистика играют ключевую роль в обеспечении научной поддержки технической реализации проекта. Фундаментальные исследования </w:t>
            </w:r>
            <w:r>
              <w:rPr>
                <w:rFonts w:ascii="Times New Roman" w:hAnsi="Times New Roman" w:eastAsia="Times New Roman" w:cs="Times New Roman"/>
                <w:color w:val="auto"/>
                <w:sz w:val="24"/>
                <w:szCs w:val="24"/>
                <w:lang w:val="ru-RU" w:eastAsia="ru-RU" w:bidi="ar-SA"/>
              </w:rPr>
              <w:t xml:space="preserve">в этом направлении сосредоточены на разработке алгоритмов системного анализа, методов статистического моделирования и прогнозирования, которые позволяют учитывать множество факторов и взаимодействий в сложных динамических системах. Это включает изучение ме</w:t>
            </w:r>
            <w:r>
              <w:rPr>
                <w:rFonts w:ascii="Times New Roman" w:hAnsi="Times New Roman" w:eastAsia="Times New Roman" w:cs="Times New Roman"/>
                <w:color w:val="auto"/>
                <w:sz w:val="24"/>
                <w:szCs w:val="24"/>
                <w:lang w:val="ru-RU" w:eastAsia="ru-RU" w:bidi="ar-SA"/>
              </w:rPr>
              <w:t xml:space="preserve">тодов машинного обучения, оптимизации процессов управления и технологий визуализации данных для принятия управленческих решений. Прикладные исследования фокусируются на создании конкретных алгоритмов обработки данных, адаптации технологий BI и разработке р</w:t>
            </w:r>
            <w:r>
              <w:rPr>
                <w:rFonts w:ascii="Times New Roman" w:hAnsi="Times New Roman" w:eastAsia="Times New Roman" w:cs="Times New Roman"/>
                <w:color w:val="auto"/>
                <w:sz w:val="24"/>
                <w:szCs w:val="24"/>
                <w:lang w:val="ru-RU" w:eastAsia="ru-RU" w:bidi="ar-SA"/>
              </w:rPr>
              <w:t xml:space="preserve">ешений, интегрирующих системы автоматизации в сложных региональных и медицинских структурах. Таким образом, исследования в этих двух направлениях создают синергетический эффект, обеспечивая научно обоснованную, комплексную и эффективную реализацию проекта.</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eastAsia="Times New Roman" w:cs="Times New Roman"/>
                <w:color w:val="auto"/>
                <w:sz w:val="24"/>
                <w:szCs w:val="24"/>
                <w:lang w:val="ru-RU" w:eastAsia="ru-RU" w:bidi="ar-SA"/>
              </w:rPr>
              <w:t xml:space="preserve">С точки </w:t>
            </w:r>
            <w:r>
              <w:rPr>
                <w:rFonts w:ascii="Times New Roman" w:hAnsi="Times New Roman" w:eastAsia="Times New Roman" w:cs="Times New Roman"/>
                <w:color w:val="auto"/>
                <w:sz w:val="24"/>
                <w:szCs w:val="24"/>
                <w:lang w:val="ru-RU" w:eastAsia="ru-RU" w:bidi="ar-SA"/>
              </w:rPr>
              <w:t xml:space="preserve">зрения социально-экономической значимости проект направлен на улучшение качества планирования и выполнения закупок в системе здравоохранения, что снижает риски нехватки ресурсов и избыточных затрат. Это, в свою очередь, способствует сокращению времени обра</w:t>
            </w:r>
            <w:r>
              <w:rPr>
                <w:rFonts w:ascii="Times New Roman" w:hAnsi="Times New Roman" w:eastAsia="Times New Roman" w:cs="Times New Roman"/>
                <w:color w:val="auto"/>
                <w:sz w:val="24"/>
                <w:szCs w:val="24"/>
                <w:lang w:val="ru-RU" w:eastAsia="ru-RU" w:bidi="ar-SA"/>
              </w:rPr>
              <w:t xml:space="preserve">ботки заявок, повышению удовлетворенности медицинских организаций и увеличению скорости предоставления конечных ресурсов. Повышение прозрачности процессов и интеграция Lean-технологий позволяют минимизировать потери и повысить доверие между всеми участника</w:t>
            </w:r>
            <w:r>
              <w:rPr>
                <w:rFonts w:ascii="Times New Roman" w:hAnsi="Times New Roman" w:eastAsia="Times New Roman" w:cs="Times New Roman"/>
                <w:color w:val="auto"/>
                <w:sz w:val="24"/>
                <w:szCs w:val="24"/>
                <w:lang w:val="ru-RU" w:eastAsia="ru-RU" w:bidi="ar-SA"/>
              </w:rPr>
              <w:t xml:space="preserve">ми системы: комитетом, медицинскими организациями и поставщиками. Таким образом, исследование способствует развитию эффективной системы здравоохранения, повышению качества медицинского обслуживания и укреплению социально-экономической устойчивости региона.</w:t>
            </w:r>
            <w:r>
              <w:rPr>
                <w:sz w:val="24"/>
                <w:szCs w:val="24"/>
              </w:rPr>
            </w:r>
            <w:r>
              <w:rPr>
                <w:sz w:val="24"/>
                <w:szCs w:val="24"/>
              </w:rPr>
            </w:r>
          </w:p>
          <w:p>
            <w:pPr>
              <w:pStyle w:val="859"/>
              <w:ind w:right="0" w:firstLine="709"/>
              <w:jc w:val="both"/>
              <w:spacing w:before="0" w:after="0" w:line="240" w:lineRule="auto"/>
              <w:widowControl w:val="off"/>
              <w:rPr>
                <w:sz w:val="24"/>
                <w:szCs w:val="24"/>
              </w:rPr>
            </w:pPr>
            <w:r>
              <w:rPr>
                <w:sz w:val="24"/>
                <w:szCs w:val="24"/>
              </w:rPr>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III.</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Снижение смертности от онкологических заболеваний на сегодняшний день является одной из приоритетных задач здравоохранения РФ. Одним из путей до</w:t>
            </w:r>
            <w:r>
              <w:rPr>
                <w:rFonts w:ascii="Times New Roman" w:hAnsi="Times New Roman" w:cs="Times New Roman"/>
                <w:sz w:val="24"/>
                <w:szCs w:val="24"/>
                <w:lang w:eastAsia="ru-RU"/>
              </w:rPr>
              <w:t xml:space="preserve">стижения низкой смертности является совершенствование методов лечения онкологических заболеваний, своевременная диагностика и др. В конце прошлого века была описана шкала морфологической прогрессии изменений слизистой оболочки желудка от нормы к злокачеств</w:t>
            </w:r>
            <w:r>
              <w:rPr>
                <w:rFonts w:ascii="Times New Roman" w:hAnsi="Times New Roman" w:cs="Times New Roman"/>
                <w:sz w:val="24"/>
                <w:szCs w:val="24"/>
                <w:lang w:eastAsia="ru-RU"/>
              </w:rPr>
              <w:t xml:space="preserve">енной трансформации слизистой через ряд воспалительных и предопухолевых изменений. Современное развитие молекулярной биологии и генетики позволяет выявлять ранние изменения генома клеток слизистой оболочки ЖКТ которые могут использоваться для дифференциаль</w:t>
            </w:r>
            <w:r>
              <w:rPr>
                <w:rFonts w:ascii="Times New Roman" w:hAnsi="Times New Roman" w:cs="Times New Roman"/>
                <w:sz w:val="24"/>
                <w:szCs w:val="24"/>
                <w:lang w:eastAsia="ru-RU"/>
              </w:rPr>
              <w:t xml:space="preserve">но диагностических мероприятий и определения персонифицированного риска прогрессии имеющихся хронических воспалительных заболеваний ЖКТ в предопухолевые состояния тем самым предотвращая развитие онкологических заболеваний слизистой оболочки ЖКТ. Морфологич</w:t>
            </w:r>
            <w:r>
              <w:rPr>
                <w:rFonts w:ascii="Times New Roman" w:hAnsi="Times New Roman" w:cs="Times New Roman"/>
                <w:sz w:val="24"/>
                <w:szCs w:val="24"/>
                <w:lang w:eastAsia="ru-RU"/>
              </w:rPr>
              <w:t xml:space="preserve">еская диагностика для данной патологии позволяет достоверно выявлять не только все основные этиологические факторы, генетические особенности (хромосомные аберрации, нарушение репарации ДНК, нестабильность генома) и прогнозировать персонифицированные риски </w:t>
            </w:r>
            <w:r>
              <w:rPr>
                <w:rFonts w:ascii="Times New Roman" w:hAnsi="Times New Roman" w:cs="Times New Roman"/>
                <w:sz w:val="24"/>
                <w:szCs w:val="24"/>
              </w:rPr>
              <w:t xml:space="preserve">прогрессии хронических воспалительных заболеваний ЖКТ у жителей Волгоградской области</w:t>
            </w:r>
            <w:r>
              <w:rPr>
                <w:rFonts w:ascii="Times New Roman" w:hAnsi="Times New Roman" w:cs="Times New Roman"/>
                <w:sz w:val="24"/>
                <w:szCs w:val="24"/>
                <w:lang w:eastAsia="ru-RU"/>
              </w:rPr>
              <w:t xml:space="preserve">.</w:t>
            </w:r>
            <w:r>
              <w:rPr>
                <w:sz w:val="24"/>
                <w:szCs w:val="24"/>
              </w:rPr>
            </w:r>
            <w:r>
              <w:rPr>
                <w:sz w:val="24"/>
                <w:szCs w:val="24"/>
              </w:rPr>
            </w:r>
          </w:p>
          <w:p>
            <w:pPr>
              <w:pStyle w:val="859"/>
              <w:ind w:right="0" w:firstLine="709"/>
              <w:jc w:val="both"/>
              <w:spacing w:before="0" w:after="0" w:line="240" w:lineRule="auto"/>
              <w:widowControl w:val="off"/>
              <w:rPr>
                <w:sz w:val="24"/>
                <w:szCs w:val="24"/>
                <w:shd w:val="clear" w:color="auto" w:fill="auto"/>
              </w:rPr>
            </w:pPr>
            <w:r>
              <w:rPr>
                <w:sz w:val="24"/>
                <w:szCs w:val="24"/>
                <w:shd w:val="clear" w:color="auto" w:fill="auto"/>
              </w:rPr>
            </w:r>
            <w:r>
              <w:rPr>
                <w:sz w:val="24"/>
                <w:szCs w:val="24"/>
                <w:shd w:val="clear" w:color="auto" w:fill="auto"/>
              </w:rPr>
            </w:r>
            <w:r>
              <w:rPr>
                <w:sz w:val="24"/>
                <w:szCs w:val="24"/>
                <w:shd w:val="clear" w:color="auto" w:fill="auto"/>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shd w:val="clear" w:color="auto" w:fill="auto"/>
                <w:lang w:eastAsia="ru-RU"/>
              </w:rPr>
              <w:t xml:space="preserve">IV.</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shd w:val="clear" w:color="auto" w:fill="auto"/>
                <w:lang w:eastAsia="ru-RU"/>
              </w:rPr>
              <w:t xml:space="preserve">Ионы магния играют роль регулятора обмена веществ. Магний входит в состав более 300 ферментов, являясь также кофа</w:t>
            </w:r>
            <w:r>
              <w:rPr>
                <w:rFonts w:ascii="Times New Roman" w:hAnsi="Times New Roman" w:cs="Times New Roman"/>
                <w:sz w:val="24"/>
                <w:szCs w:val="24"/>
                <w:shd w:val="clear" w:color="auto" w:fill="auto"/>
                <w:lang w:eastAsia="ru-RU"/>
              </w:rPr>
              <w:t xml:space="preserve">ктором многих ферментов, прямо или косвенно влияет на многие виды обмена веществ. В результате недостаточного поглощения магния в кишечнике, повышенных ренальных и экстраренальных потерь магния или тех и других факторов одновременно, отмечается развитие ги</w:t>
            </w:r>
            <w:r>
              <w:rPr>
                <w:rFonts w:ascii="Times New Roman" w:hAnsi="Times New Roman" w:cs="Times New Roman"/>
                <w:sz w:val="24"/>
                <w:szCs w:val="24"/>
                <w:shd w:val="clear" w:color="auto" w:fill="auto"/>
                <w:lang w:eastAsia="ru-RU"/>
              </w:rPr>
              <w:t xml:space="preserve">помагнезиемии. Недостаточность магния может возникать не только в результате его малого поступления в организм, но и в следствии снижения его содержания в организме при различных патологиях почек, инфаркте миокарда, сахарном диабете, назначении диуретиков.</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shd w:val="clear" w:color="auto" w:fill="auto"/>
                <w:lang w:eastAsia="ru-RU"/>
              </w:rPr>
              <w:t xml:space="preserve">Причинами дефиц</w:t>
            </w:r>
            <w:r>
              <w:rPr>
                <w:rFonts w:ascii="Times New Roman" w:hAnsi="Times New Roman" w:cs="Times New Roman"/>
                <w:sz w:val="24"/>
                <w:szCs w:val="24"/>
                <w:shd w:val="clear" w:color="auto" w:fill="auto"/>
                <w:lang w:eastAsia="ru-RU"/>
              </w:rPr>
              <w:t xml:space="preserve">ита магния могут являться его потери при асците, длительное нахождении зонда в желудке или дренажа после операции на внутренних органах, а также при трансфузии цитратной крови, в результате обширных ожогов или при выделении с потом во время большой физичес</w:t>
            </w:r>
            <w:r>
              <w:rPr>
                <w:rFonts w:ascii="Times New Roman" w:hAnsi="Times New Roman" w:cs="Times New Roman"/>
                <w:sz w:val="24"/>
                <w:szCs w:val="24"/>
                <w:shd w:val="clear" w:color="auto" w:fill="auto"/>
                <w:lang w:eastAsia="ru-RU"/>
              </w:rPr>
              <w:t xml:space="preserve">кой нагрузки. Гипомагнезиемия может возникнуть в результате перераспределения ионов магния в интрацеллюлярные пространства при опухолевых заболеваниях, сахарном диабете, почечных заболеваниях, после удаления желчного пузыря, пересадке печени и алкоголизме.</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shd w:val="clear" w:color="auto" w:fill="auto"/>
                <w:lang w:eastAsia="ru-RU"/>
              </w:rPr>
              <w:t xml:space="preserve">Противопоказаний к применению солей магния кроме высокого уровня креатинина в крови (выше 300 мМ/л) не существует.</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shd w:val="clear" w:color="auto" w:fill="auto"/>
                <w:lang w:eastAsia="ru-RU"/>
              </w:rPr>
              <w:t xml:space="preserve">Под влиянием многих экологических факторов происходит снижение магния в организме. Создание магнийсодержащих препаратов имеет большое значение для профилактики и лечения гипомагнезиемий и в комплексной терапии многих заболеваний.</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1.6.</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План работ по проекту с указанием содержание работ по проекту и сроков их выполнения</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I.</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1. Подготовка и планирование: анализ текущих процессов и документации, определение ключевых требований и стандартов.  Срок реализации: 1 месяц.</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2. Разработка шаблонов документов. Создание прототипов унифицированных шаблонов документов. Консультации с группами экспертов по каждой специальности. Утверждение финальных версий шаблонов документов.  Срок реализации: 6 месяцев.</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3. Пилотное тестирование, отдельно стационарный и амбулаторный этап. Выбор тестовых подразделений для проведения пилотного тестирования. Проведение обучения медицинского персонала. Сбор обратной связи и внесение корректировок.  Срок реализации: 3 месяца.</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4. Массовое внедрение. Интеграция шаблонов документов в МИС. Обучение представителей всех медицинских организаций, подведомственных комитету здравоохранения Волгоградской области. Запуск работы МИС с новыми шаблонами документов.  Срок реализации: 2 месяца.</w:t>
            </w:r>
            <w:r>
              <w:rPr>
                <w:sz w:val="24"/>
                <w:szCs w:val="24"/>
              </w:rPr>
            </w:r>
            <w:r>
              <w:rPr>
                <w:sz w:val="24"/>
                <w:szCs w:val="24"/>
              </w:rPr>
            </w:r>
          </w:p>
          <w:p>
            <w:pPr>
              <w:pStyle w:val="859"/>
              <w:jc w:val="both"/>
              <w:spacing w:before="0" w:after="0" w:line="240" w:lineRule="auto"/>
              <w:widowControl w:val="off"/>
              <w:rPr>
                <w:rFonts w:ascii="Times New Roman" w:hAnsi="Times New Roman" w:cs="Times New Roman"/>
                <w:sz w:val="24"/>
                <w:szCs w:val="24"/>
                <w:lang w:eastAsia="ru-RU"/>
              </w:rPr>
            </w:pPr>
            <w:r>
              <w:rPr>
                <w:rFonts w:ascii="Times New Roman" w:hAnsi="Times New Roman" w:cs="Times New Roman"/>
                <w:sz w:val="24"/>
                <w:szCs w:val="24"/>
                <w:lang w:eastAsia="ru-RU"/>
              </w:rPr>
            </w:r>
            <w:r>
              <w:rPr>
                <w:rFonts w:ascii="Times New Roman" w:hAnsi="Times New Roman" w:cs="Times New Roman"/>
                <w:sz w:val="24"/>
                <w:szCs w:val="24"/>
                <w:lang w:eastAsia="ru-RU"/>
              </w:rPr>
            </w:r>
            <w:r>
              <w:rPr>
                <w:rFonts w:ascii="Times New Roman" w:hAnsi="Times New Roman" w:cs="Times New Roman"/>
                <w:sz w:val="24"/>
                <w:szCs w:val="24"/>
                <w:lang w:eastAsia="ru-RU"/>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II.</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1. Детальный анализ существующих бизнес-процессов, методов сбора, обработки и распределения потребностей в медицинских материала</w:t>
            </w:r>
            <w:r>
              <w:rPr>
                <w:rFonts w:ascii="Times New Roman" w:hAnsi="Times New Roman" w:cs="Times New Roman"/>
                <w:sz w:val="24"/>
                <w:szCs w:val="24"/>
                <w:lang w:eastAsia="ru-RU"/>
              </w:rPr>
              <w:t xml:space="preserve">х, лекарственных препаратах, техническом обеспечении и других типах ресурсов. Выявить ключевые проблемы, задержки, недостатки и стейкхолдеры процесса. Формирование и описание бизнес-требований к целевой информационной системе.  Срок реализации: 0.5 месяца.</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2. Про</w:t>
            </w:r>
            <w:r>
              <w:rPr>
                <w:rFonts w:ascii="Times New Roman" w:hAnsi="Times New Roman" w:cs="Times New Roman"/>
                <w:sz w:val="24"/>
                <w:szCs w:val="24"/>
                <w:lang w:eastAsia="ru-RU"/>
              </w:rPr>
              <w:t xml:space="preserve">ведение этапа идентификации. Сбор данных о потребностях всех заинтересованных сторон, включая медицинские организации, комитет и поставщиков. Для этого планируются использоваться методы интервьюирования, анализа текущих бизнес-процессов и воркшопов, которы</w:t>
            </w:r>
            <w:r>
              <w:rPr>
                <w:rFonts w:ascii="Times New Roman" w:hAnsi="Times New Roman" w:cs="Times New Roman"/>
                <w:sz w:val="24"/>
                <w:szCs w:val="24"/>
                <w:lang w:eastAsia="ru-RU"/>
              </w:rPr>
              <w:t xml:space="preserve">е позволят выявить болевые точки и разработать стратегии их устранения, определение факторов, влияющих на сокращение времени обработки заявок, повышение прозрачности планирования закупок и улучшение взаимодействия с поставщиками. Срок реализации: 2 месяца.</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3. Проведение этапа систематизации, классификации и категоризации требований. Потребности структурируются по категориям,</w:t>
            </w:r>
            <w:r>
              <w:rPr>
                <w:rFonts w:ascii="Times New Roman" w:hAnsi="Times New Roman" w:cs="Times New Roman"/>
                <w:sz w:val="24"/>
                <w:szCs w:val="24"/>
                <w:lang w:eastAsia="ru-RU"/>
              </w:rPr>
              <w:t xml:space="preserve"> включая бизнес-требования пользовательские, функцио нальные, аналитические и организационные требования для создания модели системы, ориентированной на достижение целевых показателей эффективности целевой функции исследования. Срок реализации: 0.5 месяца.</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4. Проведение этапа анализ, верификации и документирования требований направлен на оптимизацию и оценку полноты, согласованности и реализуемости требований с учетом целевой функции исследования. </w:t>
            </w:r>
            <w:r>
              <w:rPr>
                <w:rFonts w:ascii="Times New Roman" w:hAnsi="Times New Roman" w:cs="Times New Roman"/>
                <w:sz w:val="24"/>
                <w:szCs w:val="24"/>
                <w:lang w:eastAsia="ru-RU"/>
              </w:rPr>
              <w:t xml:space="preserve">Верификация направлена на согласование требований между всеми заинтересованными сторонами. Закрепление требований в едином контейнере с использованием следующих стандартов ISO/IEC/IEEE 29148:2018, ГОСТ 19.201-78 и ГОСТ34.602-2020. Срок реализации: 1 месяц.</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5. Реализация и пилотное тестирование первой подсистемы – «Региональный каталогизированного реестр медицинских потребностей» для медицинских организаций и внешних, обеспечивающее централизованное хранение данных, прозрачность операций, распределённый</w:t>
            </w:r>
            <w:r>
              <w:rPr>
                <w:rFonts w:ascii="Times New Roman" w:hAnsi="Times New Roman" w:cs="Times New Roman"/>
                <w:sz w:val="24"/>
                <w:szCs w:val="24"/>
                <w:lang w:eastAsia="ru-RU"/>
              </w:rPr>
              <w:t xml:space="preserve"> доступ с различными уровнями прав и возможность внесения изменений в соответствии с полномочиями и по техническому регламенту изменения по обращениям. Разработка REST API для интеграции со сторонними информационными системами с целью синхронизации данных.</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Срок реализации: 5 месяцев.</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6. Внедрение в опытно промышленную эксплуатацию подсистемы «Региональный каталогизированного реестр медицинских потребностей» в гибридном варианте процесса сбора потребностей. Срок реализации: 2 месяца.</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7. Подготовка закрывающих документов для гранта. Срок реализации: 1 месяц.</w:t>
            </w:r>
            <w:r>
              <w:rPr>
                <w:sz w:val="24"/>
                <w:szCs w:val="24"/>
              </w:rPr>
            </w:r>
            <w:r>
              <w:rPr>
                <w:sz w:val="24"/>
                <w:szCs w:val="24"/>
              </w:rPr>
            </w:r>
          </w:p>
          <w:p>
            <w:pPr>
              <w:pStyle w:val="859"/>
              <w:jc w:val="both"/>
              <w:spacing w:before="0" w:after="0" w:line="240" w:lineRule="auto"/>
              <w:widowControl w:val="off"/>
              <w:rPr>
                <w:rFonts w:ascii="Times New Roman" w:hAnsi="Times New Roman" w:cs="Times New Roman"/>
                <w:sz w:val="24"/>
                <w:szCs w:val="24"/>
                <w:lang w:eastAsia="ru-RU"/>
              </w:rPr>
            </w:pPr>
            <w:r>
              <w:rPr>
                <w:rFonts w:ascii="Times New Roman" w:hAnsi="Times New Roman" w:cs="Times New Roman"/>
                <w:sz w:val="24"/>
                <w:szCs w:val="24"/>
                <w:lang w:eastAsia="ru-RU"/>
              </w:rPr>
            </w:r>
            <w:r>
              <w:rPr>
                <w:rFonts w:ascii="Times New Roman" w:hAnsi="Times New Roman" w:cs="Times New Roman"/>
                <w:sz w:val="24"/>
                <w:szCs w:val="24"/>
                <w:lang w:eastAsia="ru-RU"/>
              </w:rPr>
            </w:r>
            <w:r>
              <w:rPr>
                <w:rFonts w:ascii="Times New Roman" w:hAnsi="Times New Roman" w:cs="Times New Roman"/>
                <w:sz w:val="24"/>
                <w:szCs w:val="24"/>
                <w:lang w:eastAsia="ru-RU"/>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III.</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1. Подбор материала для исследования из медицинских организаций Волгоградской области (анализ клинических данных, внесение информации в базу данных), январь – февраль 2025 г.</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2. Пробоподготовка материала к гистологическим и иммунофлюоресцентным исследованиям (изготовление микропрепаратов, рутинная и гистохимическая окраска микропрепаратов), февраль-апрель 2025 г.</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3. Изучение микропрепаратов с фотодокументированием результатов, внесение информации в базу данных, апрель-июнь 2025 г.</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4. Проведение иммунофлюоресцентных и иммуногистохимических окрасок, изучение микропрепаратов, фотодокументирование результатов, внесение информации в базу данных, апрель-июнь 2025 г.</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5. Проведение морфометрических исследований, внесение информации в базу данных, июль – сентябрь 2025 г.</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6. Анализ полученных данных. Подготовка документов для регистрации результатов интеллектуальной деятельности (регистрация базы данных), октябрь-ноябрь 2025 г.</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7. Подготовка материалов к публикации в научных журналах, составление методических рекомендаций, октябрь-ноябрь 2025 г.</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sz w:val="24"/>
                <w:szCs w:val="24"/>
                <w:lang w:eastAsia="ru-RU"/>
              </w:rPr>
              <w:t xml:space="preserve">8. Написание отчета по проведенным исследованиям, декабрь 2025 г.</w:t>
            </w:r>
            <w:r>
              <w:rPr>
                <w:sz w:val="24"/>
                <w:szCs w:val="24"/>
              </w:rPr>
            </w:r>
            <w:r>
              <w:rPr>
                <w:sz w:val="24"/>
                <w:szCs w:val="24"/>
              </w:rPr>
            </w:r>
          </w:p>
          <w:p>
            <w:pPr>
              <w:pStyle w:val="859"/>
              <w:jc w:val="both"/>
              <w:spacing w:before="0" w:after="0" w:line="240" w:lineRule="auto"/>
              <w:widowControl w:val="off"/>
              <w:rPr>
                <w:rFonts w:ascii="Times New Roman" w:hAnsi="Times New Roman" w:eastAsia="Times New Roman" w:cs="Times New Roman"/>
                <w:color w:val="000000"/>
                <w:sz w:val="24"/>
                <w:szCs w:val="24"/>
                <w:shd w:val="clear" w:color="auto" w:fill="auto"/>
                <w:lang w:val="ru-RU" w:eastAsia="ru-RU" w:bidi="ar-SA"/>
              </w:rPr>
            </w:pPr>
            <w:r>
              <w:rPr>
                <w:rFonts w:ascii="Times New Roman" w:hAnsi="Times New Roman" w:eastAsia="Times New Roman" w:cs="Times New Roman"/>
                <w:color w:val="000000"/>
                <w:sz w:val="24"/>
                <w:szCs w:val="24"/>
                <w:shd w:val="clear" w:color="auto" w:fill="auto"/>
                <w:lang w:val="ru-RU" w:eastAsia="ru-RU" w:bidi="ar-SA"/>
              </w:rPr>
            </w:r>
            <w:r>
              <w:rPr>
                <w:rFonts w:ascii="Times New Roman" w:hAnsi="Times New Roman" w:eastAsia="Times New Roman" w:cs="Times New Roman"/>
                <w:color w:val="000000"/>
                <w:sz w:val="24"/>
                <w:szCs w:val="24"/>
                <w:shd w:val="clear" w:color="auto" w:fill="auto"/>
                <w:lang w:val="ru-RU" w:eastAsia="ru-RU" w:bidi="ar-SA"/>
              </w:rPr>
            </w:r>
            <w:r>
              <w:rPr>
                <w:rFonts w:ascii="Times New Roman" w:hAnsi="Times New Roman" w:eastAsia="Times New Roman" w:cs="Times New Roman"/>
                <w:color w:val="000000"/>
                <w:sz w:val="24"/>
                <w:szCs w:val="24"/>
                <w:shd w:val="clear" w:color="auto" w:fill="auto"/>
                <w:lang w:val="ru-RU" w:eastAsia="ru-RU" w:bidi="ar-SA"/>
              </w:rPr>
            </w:r>
          </w:p>
          <w:p>
            <w:pPr>
              <w:pStyle w:val="859"/>
              <w:jc w:val="both"/>
              <w:spacing w:before="0" w:after="0" w:line="240" w:lineRule="auto"/>
              <w:widowControl w:val="off"/>
              <w:rPr>
                <w:sz w:val="24"/>
                <w:szCs w:val="24"/>
              </w:rPr>
            </w:pPr>
            <w:r>
              <w:rPr>
                <w:rFonts w:ascii="Times New Roman" w:hAnsi="Times New Roman" w:eastAsia="Times New Roman" w:cs="Times New Roman"/>
                <w:color w:val="000000"/>
                <w:sz w:val="24"/>
                <w:szCs w:val="24"/>
                <w:shd w:val="clear" w:color="auto" w:fill="auto"/>
                <w:lang w:val="ru-RU" w:eastAsia="ru-RU" w:bidi="ar-SA"/>
              </w:rPr>
              <w:t xml:space="preserve">IV.</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eastAsia="Times New Roman" w:cs="Times New Roman"/>
                <w:color w:val="000000"/>
                <w:sz w:val="24"/>
                <w:szCs w:val="24"/>
                <w:shd w:val="clear" w:color="auto" w:fill="auto"/>
                <w:lang w:val="ru-RU" w:eastAsia="ru-RU" w:bidi="ar-SA"/>
              </w:rPr>
              <w:t xml:space="preserve">1. Проведение патентного поиска по теме проекта (январь-февраль 2025).</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eastAsia="Times New Roman" w:cs="Times New Roman"/>
                <w:color w:val="000000"/>
                <w:sz w:val="24"/>
                <w:szCs w:val="24"/>
                <w:shd w:val="clear" w:color="auto" w:fill="auto"/>
                <w:lang w:val="ru-RU" w:eastAsia="ru-RU" w:bidi="ar-SA"/>
              </w:rPr>
              <w:t xml:space="preserve">2. Разработка методов очистки природного бишофита (март-май 2025).</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eastAsia="Times New Roman" w:cs="Times New Roman"/>
                <w:color w:val="000000"/>
                <w:sz w:val="24"/>
                <w:szCs w:val="24"/>
                <w:shd w:val="clear" w:color="auto" w:fill="auto"/>
                <w:lang w:val="ru-RU" w:eastAsia="ru-RU" w:bidi="ar-SA"/>
              </w:rPr>
              <w:t xml:space="preserve">3. Разработк</w:t>
            </w:r>
            <w:r>
              <w:rPr>
                <w:rFonts w:ascii="Times New Roman" w:hAnsi="Times New Roman" w:eastAsia="Times New Roman" w:cs="Times New Roman"/>
                <w:color w:val="000000"/>
                <w:sz w:val="24"/>
                <w:szCs w:val="24"/>
                <w:shd w:val="clear" w:color="auto" w:fill="auto"/>
                <w:lang w:val="ru-RU" w:eastAsia="ru-RU" w:bidi="ar-SA"/>
              </w:rPr>
              <w:t xml:space="preserve">а составов средств с бишофитом для применения в стоматологической и ЛОР-практике, в практике дерматовенерологии, гинекологии, а также, как средств для бальнеотерапии, реабилитационной медицины, и для применения в гериатрической практике (март-август 2025).</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eastAsia="Times New Roman" w:cs="Times New Roman"/>
                <w:color w:val="000000"/>
                <w:sz w:val="24"/>
                <w:szCs w:val="24"/>
                <w:shd w:val="clear" w:color="auto" w:fill="auto"/>
                <w:lang w:val="ru-RU" w:eastAsia="ru-RU" w:bidi="ar-SA"/>
              </w:rPr>
              <w:t xml:space="preserve">4. Наработка опытных образцов (март-август 2025).</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eastAsia="Times New Roman" w:cs="Times New Roman"/>
                <w:color w:val="000000"/>
                <w:sz w:val="24"/>
                <w:szCs w:val="24"/>
                <w:shd w:val="clear" w:color="auto" w:fill="auto"/>
                <w:lang w:val="ru-RU" w:eastAsia="ru-RU" w:bidi="ar-SA"/>
              </w:rPr>
              <w:t xml:space="preserve">5. Фармакологические исследования (сентябрь-декабрь 2025).</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1.7.</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Планы и перспективы реализации проекта (программа работ по проекту после выполнения проекта за счет средств гранта и планируемого времени выполнения данных работ)</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918"/>
              <w:jc w:val="both"/>
              <w:widowControl w:val="off"/>
              <w:rPr>
                <w:sz w:val="24"/>
                <w:szCs w:val="24"/>
              </w:rPr>
            </w:pPr>
            <w:r>
              <w:rPr>
                <w:rFonts w:ascii="Times New Roman" w:hAnsi="Times New Roman" w:cs="Times New Roman"/>
                <w:sz w:val="24"/>
                <w:szCs w:val="24"/>
                <w:lang w:eastAsia="ru-RU"/>
              </w:rPr>
              <w:t xml:space="preserve">I.</w:t>
            </w:r>
            <w:r>
              <w:rPr>
                <w:sz w:val="24"/>
                <w:szCs w:val="24"/>
              </w:rPr>
            </w:r>
            <w:r>
              <w:rPr>
                <w:sz w:val="24"/>
                <w:szCs w:val="24"/>
              </w:rPr>
            </w:r>
          </w:p>
          <w:p>
            <w:pPr>
              <w:pStyle w:val="918"/>
              <w:jc w:val="both"/>
              <w:widowControl w:val="off"/>
              <w:rPr>
                <w:sz w:val="24"/>
                <w:szCs w:val="24"/>
              </w:rPr>
            </w:pPr>
            <w:r>
              <w:rPr>
                <w:rFonts w:ascii="Times New Roman" w:hAnsi="Times New Roman" w:cs="Times New Roman"/>
                <w:sz w:val="24"/>
                <w:szCs w:val="24"/>
                <w:lang w:eastAsia="ru-RU"/>
              </w:rPr>
              <w:t xml:space="preserve">Оценка эффективности внедрения унифицированных документов в региональную МИС. Формирование предложений по корректирующим мероприятиям, направленным на дальнейшее повышение эффективности исп</w:t>
            </w:r>
            <w:r>
              <w:rPr>
                <w:rFonts w:ascii="Times New Roman" w:hAnsi="Times New Roman" w:cs="Times New Roman"/>
                <w:sz w:val="24"/>
                <w:szCs w:val="24"/>
                <w:lang w:eastAsia="ru-RU"/>
              </w:rPr>
              <w:t xml:space="preserve">ользования региональной МИС и разработку новых унифицированных форм документов по запросу регионального здравоохранения. Мониторинг потребности в обучении работников медицинских организаций, разработка и реализация соответствующих образовательных программ.</w:t>
            </w:r>
            <w:r>
              <w:rPr>
                <w:sz w:val="24"/>
                <w:szCs w:val="24"/>
              </w:rPr>
            </w:r>
            <w:r>
              <w:rPr>
                <w:sz w:val="24"/>
                <w:szCs w:val="24"/>
              </w:rPr>
            </w:r>
          </w:p>
          <w:p>
            <w:pPr>
              <w:pStyle w:val="918"/>
              <w:jc w:val="both"/>
              <w:widowControl w:val="off"/>
              <w:rPr>
                <w:rFonts w:ascii="Times New Roman" w:hAnsi="Times New Roman" w:cs="Times New Roman"/>
                <w:sz w:val="24"/>
                <w:szCs w:val="24"/>
                <w:lang w:eastAsia="ru-RU"/>
              </w:rPr>
            </w:pPr>
            <w:r>
              <w:rPr>
                <w:rFonts w:ascii="Times New Roman" w:hAnsi="Times New Roman" w:cs="Times New Roman"/>
                <w:sz w:val="24"/>
                <w:szCs w:val="24"/>
                <w:lang w:eastAsia="ru-RU"/>
              </w:rPr>
            </w:r>
            <w:r>
              <w:rPr>
                <w:rFonts w:ascii="Times New Roman" w:hAnsi="Times New Roman" w:cs="Times New Roman"/>
                <w:sz w:val="24"/>
                <w:szCs w:val="24"/>
                <w:lang w:eastAsia="ru-RU"/>
              </w:rPr>
            </w:r>
            <w:r>
              <w:rPr>
                <w:rFonts w:ascii="Times New Roman" w:hAnsi="Times New Roman" w:cs="Times New Roman"/>
                <w:sz w:val="24"/>
                <w:szCs w:val="24"/>
                <w:lang w:eastAsia="ru-RU"/>
              </w:rPr>
            </w:r>
          </w:p>
          <w:p>
            <w:pPr>
              <w:pStyle w:val="918"/>
              <w:jc w:val="both"/>
              <w:widowControl w:val="off"/>
              <w:rPr>
                <w:sz w:val="24"/>
                <w:szCs w:val="24"/>
              </w:rPr>
            </w:pPr>
            <w:r>
              <w:rPr>
                <w:rFonts w:ascii="Times New Roman" w:hAnsi="Times New Roman" w:cs="Times New Roman"/>
                <w:sz w:val="24"/>
                <w:szCs w:val="24"/>
                <w:lang w:eastAsia="ru-RU"/>
              </w:rPr>
              <w:t xml:space="preserve">II.</w:t>
            </w:r>
            <w:r>
              <w:rPr>
                <w:sz w:val="24"/>
                <w:szCs w:val="24"/>
              </w:rPr>
            </w:r>
            <w:r>
              <w:rPr>
                <w:sz w:val="24"/>
                <w:szCs w:val="24"/>
              </w:rPr>
            </w:r>
          </w:p>
          <w:p>
            <w:pPr>
              <w:pStyle w:val="918"/>
              <w:jc w:val="both"/>
              <w:widowControl w:val="off"/>
              <w:rPr>
                <w:sz w:val="24"/>
                <w:szCs w:val="24"/>
              </w:rPr>
            </w:pPr>
            <w:r>
              <w:rPr>
                <w:rFonts w:ascii="Times New Roman" w:hAnsi="Times New Roman" w:cs="Times New Roman"/>
                <w:sz w:val="24"/>
                <w:szCs w:val="24"/>
                <w:lang w:eastAsia="ru-RU"/>
              </w:rPr>
              <w:t xml:space="preserve">Реализация, тестирование и внедрение в опытно промышленную э</w:t>
            </w:r>
            <w:r>
              <w:rPr>
                <w:rFonts w:ascii="Times New Roman" w:hAnsi="Times New Roman" w:cs="Times New Roman"/>
                <w:sz w:val="24"/>
                <w:szCs w:val="24"/>
                <w:lang w:eastAsia="ru-RU"/>
              </w:rPr>
              <w:t xml:space="preserve">ксплуатацию  подсистем «Региональная система сбора медицинских потребностей»,   «Региональная аналитическая система управления потребностями на основе данных», «Региональная аналитическая система систематизации потребностей внутри медицинской организации».</w:t>
            </w:r>
            <w:r>
              <w:rPr>
                <w:sz w:val="24"/>
                <w:szCs w:val="24"/>
              </w:rPr>
            </w:r>
            <w:r>
              <w:rPr>
                <w:sz w:val="24"/>
                <w:szCs w:val="24"/>
              </w:rPr>
            </w:r>
          </w:p>
          <w:p>
            <w:pPr>
              <w:pStyle w:val="918"/>
              <w:jc w:val="both"/>
              <w:widowControl w:val="off"/>
              <w:rPr>
                <w:rFonts w:ascii="Times New Roman" w:hAnsi="Times New Roman" w:cs="Times New Roman"/>
                <w:sz w:val="24"/>
                <w:szCs w:val="24"/>
                <w:lang w:eastAsia="ru-RU"/>
              </w:rPr>
            </w:pPr>
            <w:r>
              <w:rPr>
                <w:rFonts w:ascii="Times New Roman" w:hAnsi="Times New Roman" w:cs="Times New Roman"/>
                <w:sz w:val="24"/>
                <w:szCs w:val="24"/>
                <w:lang w:eastAsia="ru-RU"/>
              </w:rPr>
            </w:r>
            <w:r>
              <w:rPr>
                <w:rFonts w:ascii="Times New Roman" w:hAnsi="Times New Roman" w:cs="Times New Roman"/>
                <w:sz w:val="24"/>
                <w:szCs w:val="24"/>
                <w:lang w:eastAsia="ru-RU"/>
              </w:rPr>
            </w:r>
            <w:r>
              <w:rPr>
                <w:rFonts w:ascii="Times New Roman" w:hAnsi="Times New Roman" w:cs="Times New Roman"/>
                <w:sz w:val="24"/>
                <w:szCs w:val="24"/>
                <w:lang w:eastAsia="ru-RU"/>
              </w:rPr>
            </w:r>
          </w:p>
          <w:p>
            <w:pPr>
              <w:pStyle w:val="918"/>
              <w:jc w:val="both"/>
              <w:widowControl w:val="off"/>
              <w:rPr>
                <w:sz w:val="24"/>
                <w:szCs w:val="24"/>
              </w:rPr>
            </w:pPr>
            <w:r>
              <w:rPr>
                <w:rFonts w:ascii="Times New Roman" w:hAnsi="Times New Roman" w:cs="Times New Roman"/>
                <w:sz w:val="24"/>
                <w:szCs w:val="24"/>
                <w:lang w:eastAsia="ru-RU"/>
              </w:rPr>
              <w:t xml:space="preserve">III.</w:t>
            </w:r>
            <w:r>
              <w:rPr>
                <w:sz w:val="24"/>
                <w:szCs w:val="24"/>
              </w:rPr>
            </w:r>
            <w:r>
              <w:rPr>
                <w:sz w:val="24"/>
                <w:szCs w:val="24"/>
              </w:rPr>
            </w:r>
          </w:p>
          <w:p>
            <w:pPr>
              <w:pStyle w:val="918"/>
              <w:jc w:val="both"/>
              <w:widowControl w:val="off"/>
              <w:rPr>
                <w:sz w:val="24"/>
                <w:szCs w:val="24"/>
              </w:rPr>
            </w:pPr>
            <w:r>
              <w:rPr>
                <w:rFonts w:ascii="Times New Roman" w:hAnsi="Times New Roman" w:cs="Times New Roman"/>
                <w:sz w:val="24"/>
                <w:szCs w:val="24"/>
                <w:lang w:eastAsia="ru-RU"/>
              </w:rPr>
              <w:t xml:space="preserve">По окончании проекта планируется продолжение выполнения комплексных прижизненных клинико-морфологических исследований специалистами медицинских организаций Волго</w:t>
            </w:r>
            <w:r>
              <w:rPr>
                <w:rFonts w:ascii="Times New Roman" w:hAnsi="Times New Roman" w:cs="Times New Roman"/>
                <w:sz w:val="24"/>
                <w:szCs w:val="24"/>
                <w:lang w:eastAsia="ru-RU"/>
              </w:rPr>
              <w:t xml:space="preserve">градской области в соответствии с их профилем медицинской деятельности. На основании полученных научных данных планируется разработка и внедрение программного обеспечения по оценке персонифицированных рисков прогрессирования воспалительных заболеваний ЖКТ.</w:t>
            </w:r>
            <w:r>
              <w:rPr>
                <w:sz w:val="24"/>
                <w:szCs w:val="24"/>
              </w:rPr>
            </w:r>
            <w:r>
              <w:rPr>
                <w:sz w:val="24"/>
                <w:szCs w:val="24"/>
              </w:rPr>
            </w:r>
          </w:p>
          <w:p>
            <w:pPr>
              <w:pStyle w:val="918"/>
              <w:jc w:val="both"/>
              <w:widowControl w:val="off"/>
              <w:rPr>
                <w:rFonts w:ascii="Times New Roman" w:hAnsi="Times New Roman" w:eastAsia="Times New Roman" w:cs="Times New Roman"/>
                <w:color w:val="auto"/>
                <w:sz w:val="24"/>
                <w:szCs w:val="24"/>
                <w:lang w:val="ru-RU" w:eastAsia="ru-RU" w:bidi="ar-SA"/>
              </w:rPr>
            </w:pPr>
            <w:r>
              <w:rPr>
                <w:rFonts w:ascii="Times New Roman" w:hAnsi="Times New Roman" w:eastAsia="Times New Roman" w:cs="Times New Roman"/>
                <w:color w:val="auto"/>
                <w:sz w:val="24"/>
                <w:szCs w:val="24"/>
                <w:lang w:val="ru-RU" w:eastAsia="ru-RU" w:bidi="ar-SA"/>
              </w:rPr>
            </w:r>
            <w:r>
              <w:rPr>
                <w:rFonts w:ascii="Times New Roman" w:hAnsi="Times New Roman" w:eastAsia="Times New Roman" w:cs="Times New Roman"/>
                <w:color w:val="auto"/>
                <w:sz w:val="24"/>
                <w:szCs w:val="24"/>
                <w:lang w:val="ru-RU" w:eastAsia="ru-RU" w:bidi="ar-SA"/>
              </w:rPr>
            </w:r>
            <w:r>
              <w:rPr>
                <w:rFonts w:ascii="Times New Roman" w:hAnsi="Times New Roman" w:eastAsia="Times New Roman" w:cs="Times New Roman"/>
                <w:color w:val="auto"/>
                <w:sz w:val="24"/>
                <w:szCs w:val="24"/>
                <w:lang w:val="ru-RU" w:eastAsia="ru-RU" w:bidi="ar-SA"/>
              </w:rPr>
            </w:r>
          </w:p>
          <w:p>
            <w:pPr>
              <w:pStyle w:val="918"/>
              <w:jc w:val="both"/>
              <w:widowControl w:val="off"/>
              <w:rPr>
                <w:sz w:val="24"/>
                <w:szCs w:val="24"/>
              </w:rPr>
            </w:pPr>
            <w:r>
              <w:rPr>
                <w:rFonts w:ascii="Times New Roman" w:hAnsi="Times New Roman" w:eastAsia="Times New Roman" w:cs="Times New Roman"/>
                <w:color w:val="auto"/>
                <w:sz w:val="24"/>
                <w:szCs w:val="24"/>
                <w:lang w:val="ru-RU" w:eastAsia="ru-RU" w:bidi="ar-SA"/>
              </w:rPr>
              <w:t xml:space="preserve">IV.</w:t>
            </w:r>
            <w:r>
              <w:rPr>
                <w:sz w:val="24"/>
                <w:szCs w:val="24"/>
              </w:rPr>
            </w:r>
            <w:r>
              <w:rPr>
                <w:sz w:val="24"/>
                <w:szCs w:val="24"/>
              </w:rPr>
            </w:r>
          </w:p>
          <w:p>
            <w:pPr>
              <w:pStyle w:val="918"/>
              <w:jc w:val="both"/>
              <w:widowControl w:val="off"/>
              <w:rPr>
                <w:sz w:val="24"/>
                <w:szCs w:val="24"/>
              </w:rPr>
            </w:pPr>
            <w:r>
              <w:rPr>
                <w:rFonts w:ascii="Times New Roman" w:hAnsi="Times New Roman" w:eastAsia="Times New Roman" w:cs="Times New Roman"/>
                <w:color w:val="auto"/>
                <w:sz w:val="24"/>
                <w:szCs w:val="24"/>
                <w:lang w:val="ru-RU" w:eastAsia="ru-RU" w:bidi="ar-SA"/>
              </w:rPr>
              <w:t xml:space="preserve">В ходе реализации проекта будет разработан ряд средств на основе природного бишофита для использования в профилактической медицине, а также в целях реабилитации больных.</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1.8.</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Планируемые в рамках реализации проекта по итогам прикладных исследований  охраняемые результаты интеллектуальной деятельности</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918"/>
              <w:jc w:val="both"/>
              <w:widowControl w:val="off"/>
              <w:rPr>
                <w:sz w:val="24"/>
                <w:szCs w:val="24"/>
              </w:rPr>
            </w:pPr>
            <w:r>
              <w:rPr>
                <w:rFonts w:ascii="Times New Roman" w:hAnsi="Times New Roman" w:eastAsia="Times New Roman" w:cs="Times New Roman"/>
                <w:color w:val="auto"/>
                <w:sz w:val="24"/>
                <w:szCs w:val="24"/>
                <w:lang w:val="ru-RU" w:eastAsia="zh-CN" w:bidi="ar-SA"/>
              </w:rPr>
              <w:t xml:space="preserve">I.</w:t>
            </w:r>
            <w:r>
              <w:rPr>
                <w:sz w:val="24"/>
                <w:szCs w:val="24"/>
              </w:rPr>
            </w:r>
            <w:r>
              <w:rPr>
                <w:sz w:val="24"/>
                <w:szCs w:val="24"/>
              </w:rPr>
            </w:r>
          </w:p>
          <w:p>
            <w:pPr>
              <w:pStyle w:val="918"/>
              <w:jc w:val="both"/>
              <w:widowControl w:val="off"/>
              <w:rPr>
                <w:sz w:val="24"/>
                <w:szCs w:val="24"/>
              </w:rPr>
            </w:pPr>
            <w:r>
              <w:rPr>
                <w:rFonts w:ascii="Times New Roman" w:hAnsi="Times New Roman" w:eastAsia="Times New Roman" w:cs="Times New Roman"/>
                <w:color w:val="auto"/>
                <w:sz w:val="24"/>
                <w:szCs w:val="24"/>
                <w:lang w:val="ru-RU" w:eastAsia="zh-CN" w:bidi="ar-SA"/>
              </w:rPr>
              <w:t xml:space="preserve">Практико-ориентированные методические рекомендации по эффективному применению клинических рекомендаций с применением региональной МИС, база данных унифицированных документов для автоматизации применения клинических рекомендаций.</w:t>
            </w:r>
            <w:r>
              <w:rPr>
                <w:sz w:val="24"/>
                <w:szCs w:val="24"/>
              </w:rPr>
            </w:r>
            <w:r>
              <w:rPr>
                <w:sz w:val="24"/>
                <w:szCs w:val="24"/>
              </w:rPr>
            </w:r>
          </w:p>
          <w:p>
            <w:pPr>
              <w:pStyle w:val="918"/>
              <w:jc w:val="both"/>
              <w:widowControl w:val="off"/>
              <w:rPr>
                <w:rFonts w:ascii="Times New Roman" w:hAnsi="Times New Roman" w:eastAsia="Times New Roman" w:cs="Times New Roman"/>
                <w:color w:val="auto"/>
                <w:sz w:val="24"/>
                <w:szCs w:val="24"/>
                <w:lang w:val="ru-RU" w:eastAsia="zh-CN" w:bidi="ar-SA"/>
              </w:rPr>
            </w:pP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p>
          <w:p>
            <w:pPr>
              <w:pStyle w:val="918"/>
              <w:jc w:val="both"/>
              <w:widowControl w:val="off"/>
              <w:rPr>
                <w:sz w:val="24"/>
                <w:szCs w:val="24"/>
              </w:rPr>
            </w:pPr>
            <w:r>
              <w:rPr>
                <w:rFonts w:ascii="Times New Roman" w:hAnsi="Times New Roman" w:eastAsia="Times New Roman" w:cs="Times New Roman"/>
                <w:color w:val="auto"/>
                <w:sz w:val="24"/>
                <w:szCs w:val="24"/>
                <w:lang w:val="ru-RU" w:eastAsia="zh-CN" w:bidi="ar-SA"/>
              </w:rPr>
              <w:t xml:space="preserve">II.</w:t>
            </w:r>
            <w:r>
              <w:rPr>
                <w:sz w:val="24"/>
                <w:szCs w:val="24"/>
              </w:rPr>
            </w:r>
            <w:r>
              <w:rPr>
                <w:sz w:val="24"/>
                <w:szCs w:val="24"/>
              </w:rPr>
            </w:r>
          </w:p>
          <w:p>
            <w:pPr>
              <w:pStyle w:val="918"/>
              <w:jc w:val="both"/>
              <w:widowControl w:val="off"/>
              <w:rPr>
                <w:sz w:val="24"/>
                <w:szCs w:val="24"/>
              </w:rPr>
            </w:pPr>
            <w:r>
              <w:rPr>
                <w:rFonts w:ascii="Times New Roman" w:hAnsi="Times New Roman" w:eastAsia="Times New Roman" w:cs="Times New Roman"/>
                <w:color w:val="auto"/>
                <w:sz w:val="24"/>
                <w:szCs w:val="24"/>
                <w:lang w:val="ru-RU" w:eastAsia="zh-CN" w:bidi="ar-SA"/>
              </w:rPr>
              <w:t xml:space="preserve">Свидетельство о государственной регистрации программ для ЭВМ на каждую подсистему.</w:t>
            </w:r>
            <w:r>
              <w:rPr>
                <w:sz w:val="24"/>
                <w:szCs w:val="24"/>
              </w:rPr>
            </w:r>
            <w:r>
              <w:rPr>
                <w:sz w:val="24"/>
                <w:szCs w:val="24"/>
              </w:rPr>
            </w:r>
          </w:p>
          <w:p>
            <w:pPr>
              <w:pStyle w:val="918"/>
              <w:jc w:val="both"/>
              <w:widowControl w:val="off"/>
              <w:rPr>
                <w:rFonts w:ascii="Times New Roman" w:hAnsi="Times New Roman" w:eastAsia="Times New Roman" w:cs="Times New Roman"/>
                <w:color w:val="auto"/>
                <w:sz w:val="24"/>
                <w:szCs w:val="24"/>
                <w:lang w:val="ru-RU" w:eastAsia="zh-CN" w:bidi="ar-SA"/>
              </w:rPr>
            </w:pP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p>
          <w:p>
            <w:pPr>
              <w:pStyle w:val="918"/>
              <w:jc w:val="both"/>
              <w:widowControl w:val="off"/>
              <w:rPr>
                <w:sz w:val="24"/>
                <w:szCs w:val="24"/>
              </w:rPr>
            </w:pPr>
            <w:r>
              <w:rPr>
                <w:rFonts w:ascii="Times New Roman" w:hAnsi="Times New Roman" w:eastAsia="Times New Roman" w:cs="Times New Roman"/>
                <w:color w:val="auto"/>
                <w:sz w:val="24"/>
                <w:szCs w:val="24"/>
                <w:lang w:val="ru-RU" w:eastAsia="zh-CN" w:bidi="ar-SA"/>
              </w:rPr>
              <w:t xml:space="preserve">III.</w:t>
            </w:r>
            <w:r>
              <w:rPr>
                <w:sz w:val="24"/>
                <w:szCs w:val="24"/>
              </w:rPr>
            </w:r>
            <w:r>
              <w:rPr>
                <w:sz w:val="24"/>
                <w:szCs w:val="24"/>
              </w:rPr>
            </w:r>
          </w:p>
          <w:p>
            <w:pPr>
              <w:pStyle w:val="918"/>
              <w:jc w:val="both"/>
              <w:widowControl w:val="off"/>
              <w:rPr>
                <w:sz w:val="24"/>
                <w:szCs w:val="24"/>
              </w:rPr>
            </w:pPr>
            <w:r>
              <w:rPr>
                <w:rFonts w:ascii="Times New Roman" w:hAnsi="Times New Roman" w:eastAsia="Times New Roman" w:cs="Times New Roman"/>
                <w:color w:val="auto"/>
                <w:sz w:val="24"/>
                <w:szCs w:val="24"/>
                <w:lang w:val="ru-RU" w:eastAsia="zh-CN" w:bidi="ar-SA"/>
              </w:rPr>
              <w:t xml:space="preserve">Свидетельство о регистрации базы данных о прогнозировании персонифицированного риска прогрессирования воспалительных заболеваний ЖКТ.</w:t>
            </w:r>
            <w:r>
              <w:rPr>
                <w:sz w:val="24"/>
                <w:szCs w:val="24"/>
              </w:rPr>
            </w:r>
            <w:r>
              <w:rPr>
                <w:sz w:val="24"/>
                <w:szCs w:val="24"/>
              </w:rPr>
            </w:r>
          </w:p>
          <w:p>
            <w:pPr>
              <w:pStyle w:val="918"/>
              <w:jc w:val="both"/>
              <w:widowControl w:val="off"/>
              <w:rPr>
                <w:rFonts w:ascii="Times New Roman" w:hAnsi="Times New Roman" w:eastAsia="Times New Roman" w:cs="Times New Roman"/>
                <w:color w:val="auto"/>
                <w:sz w:val="24"/>
                <w:szCs w:val="24"/>
                <w:lang w:val="ru-RU" w:eastAsia="zh-CN" w:bidi="ar-SA"/>
              </w:rPr>
            </w:pP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p>
          <w:p>
            <w:pPr>
              <w:pStyle w:val="918"/>
              <w:jc w:val="both"/>
              <w:widowControl w:val="off"/>
              <w:rPr>
                <w:sz w:val="24"/>
                <w:szCs w:val="24"/>
              </w:rPr>
            </w:pPr>
            <w:r>
              <w:rPr>
                <w:rFonts w:ascii="Times New Roman" w:hAnsi="Times New Roman" w:eastAsia="Times New Roman" w:cs="Times New Roman"/>
                <w:color w:val="auto"/>
                <w:sz w:val="24"/>
                <w:szCs w:val="24"/>
                <w:lang w:val="ru-RU" w:eastAsia="zh-CN" w:bidi="ar-SA"/>
              </w:rPr>
              <w:t xml:space="preserve">IV.</w:t>
            </w:r>
            <w:r>
              <w:rPr>
                <w:sz w:val="24"/>
                <w:szCs w:val="24"/>
              </w:rPr>
            </w:r>
            <w:r>
              <w:rPr>
                <w:sz w:val="24"/>
                <w:szCs w:val="24"/>
              </w:rPr>
            </w:r>
          </w:p>
          <w:p>
            <w:pPr>
              <w:pStyle w:val="918"/>
              <w:jc w:val="both"/>
              <w:widowControl w:val="off"/>
              <w:rPr>
                <w:sz w:val="24"/>
                <w:szCs w:val="24"/>
              </w:rPr>
            </w:pPr>
            <w:r>
              <w:rPr>
                <w:rFonts w:ascii="Times New Roman" w:hAnsi="Times New Roman" w:eastAsia="Times New Roman" w:cs="Times New Roman"/>
                <w:color w:val="auto"/>
                <w:sz w:val="24"/>
                <w:szCs w:val="24"/>
                <w:lang w:val="ru-RU" w:eastAsia="zh-CN" w:bidi="ar-SA"/>
              </w:rPr>
              <w:t xml:space="preserve">Патенты на способ очистки и на способ применения природного бишофита в целях вспомогательной и реабилитационной медицины.</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2.</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Научный и практический задел по теме исследования проекта</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2.1.</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jc w:val="both"/>
              <w:widowControl w:val="off"/>
              <w:rPr>
                <w:sz w:val="24"/>
                <w:szCs w:val="24"/>
              </w:rPr>
            </w:pPr>
            <w:r>
              <w:rPr>
                <w:rFonts w:ascii="Times New Roman" w:hAnsi="Times New Roman" w:cs="Times New Roman"/>
                <w:sz w:val="24"/>
                <w:szCs w:val="24"/>
              </w:rPr>
              <w:t xml:space="preserve">Основные публикации, </w:t>
            </w:r>
            <w:r>
              <w:rPr>
                <w:rFonts w:ascii="Times New Roman" w:hAnsi="Times New Roman" w:cs="Times New Roman"/>
                <w:color w:val="000000"/>
                <w:sz w:val="24"/>
                <w:szCs w:val="24"/>
              </w:rPr>
              <w:t xml:space="preserve"> по результатам реализации проекта в научных журналах, индексируемых в базах данных "РИНЦ", </w:t>
            </w:r>
            <w:r>
              <w:rPr>
                <w:rFonts w:ascii="Times New Roman" w:hAnsi="Times New Roman" w:cs="Times New Roman"/>
                <w:color w:val="000000"/>
                <w:sz w:val="24"/>
                <w:szCs w:val="24"/>
                <w:lang w:val="en-US"/>
              </w:rPr>
              <w:t xml:space="preserve">RSCI</w:t>
            </w:r>
            <w:r>
              <w:rPr>
                <w:rFonts w:ascii="Times New Roman" w:hAnsi="Times New Roman" w:cs="Times New Roman"/>
                <w:color w:val="000000"/>
                <w:sz w:val="24"/>
                <w:szCs w:val="24"/>
              </w:rPr>
              <w:t xml:space="preserve">, "Scopus" и (или) "Web of Science"</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I.</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1. Берсенева Е.А., Кураков Д.А., Мендель С.А., Шкарин В.В., Савостина Е.А., Таирова</w:t>
            </w:r>
            <w:r>
              <w:rPr>
                <w:rFonts w:ascii="Times New Roman" w:hAnsi="Times New Roman" w:cs="Times New Roman"/>
                <w:b w:val="0"/>
                <w:bCs w:val="0"/>
                <w:sz w:val="24"/>
                <w:szCs w:val="24"/>
              </w:rPr>
              <w:t xml:space="preserve"> Р.Т. Факторный анализ результатов анкетирования пациентов и медицинского персонала и его использование в реализации процессного подхода к организации деятельности медицинского учреждения / Общественное здоровье и здравоохранение. 2020. № 1 (65). С. 59-63.</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2. Шкарин В.В., Ивашева В.В., Емельянова </w:t>
            </w:r>
            <w:r>
              <w:rPr>
                <w:rFonts w:ascii="Times New Roman" w:hAnsi="Times New Roman" w:cs="Times New Roman"/>
                <w:b w:val="0"/>
                <w:bCs w:val="0"/>
                <w:sz w:val="24"/>
                <w:szCs w:val="24"/>
              </w:rPr>
              <w:t xml:space="preserve">О.С., Заклякова В.Д. Проблема безопасности пациентов при оказании медицинской помощи. Мнение врачей-экспертов качества медицинской помощи и практикующих врачей / Вестник Волгоградского государственного медицинского университета. 2020. № 1 (73). С. 177-180.</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3. Панченко М.Л., Наумова В.Н., Маслак Е.Е., Дьяченко Т.С. Критерии оценки качества стоматологической помощи / Институт стоматологии. 2020. № 1 (86). С. 96-97.</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4. Попова Е.Г., Дьяченко Т.С., Грибина Л.Н., Девляшова О.Ф. Степень объективности оценочных критериев качества первичной медико-санитарной помощи / Медицина и организация здравоохранения. 2020. Т. 5. № 3. С. 21-27.</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5. Девляшова О.Ф. Научное обоснование медико-организационных мероприятий по совершенствованию экспертизы качества медицинской помощи в детских амбулаторно-поликлинических учреждениях / диссертация на соискание ученой степени кан</w:t>
            </w:r>
            <w:r>
              <w:rPr>
                <w:rFonts w:ascii="Times New Roman" w:hAnsi="Times New Roman" w:cs="Times New Roman"/>
                <w:b w:val="0"/>
                <w:bCs w:val="0"/>
                <w:sz w:val="24"/>
                <w:szCs w:val="24"/>
              </w:rPr>
              <w:t xml:space="preserve">дидата медицинских наук / Федеральное государственное автономное образовательное учреждение высшего образования "Российский национальный исследовательский медицинский университет имени н.и. Пирогова" Министерства здравоохранения Российской Федерации. 2020.</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6. Берсенева Е.А., Мендель С.А., Шкар</w:t>
            </w:r>
            <w:r>
              <w:rPr>
                <w:rFonts w:ascii="Times New Roman" w:hAnsi="Times New Roman" w:cs="Times New Roman"/>
                <w:b w:val="0"/>
                <w:bCs w:val="0"/>
                <w:sz w:val="24"/>
                <w:szCs w:val="24"/>
              </w:rPr>
              <w:t xml:space="preserve">ин В.В., Кураков Д.А., Савостина Е.А. Проектирование управленческих и административно-хозяйственных процессов в медицинских организациях с использованием графического представления модели / Общественное здоровье и здравоохранение. 2019. № 4 (64). С. 73-79.</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7. Семенова Н.В., Шкарин В.В., Иваненко В.В., Карапиди Ю.А., Емельянова О.С. Повышение эффективности оказания поэтапной медицинско</w:t>
            </w:r>
            <w:r>
              <w:rPr>
                <w:rFonts w:ascii="Times New Roman" w:hAnsi="Times New Roman" w:cs="Times New Roman"/>
                <w:b w:val="0"/>
                <w:bCs w:val="0"/>
                <w:sz w:val="24"/>
                <w:szCs w:val="24"/>
              </w:rPr>
              <w:t xml:space="preserve">й помощи больным ишемической болезнью сердца среди сельского населения - ключ к снижению смертности от сердечно-сосудистых заболеваний по Волгоградской области / Вестник Волгоградского государственного медицинского университета. 2019. № 3 (71). С. 136-139.</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8. Берсенева Е.А., Мен</w:t>
            </w:r>
            <w:r>
              <w:rPr>
                <w:rFonts w:ascii="Times New Roman" w:hAnsi="Times New Roman" w:cs="Times New Roman"/>
                <w:b w:val="0"/>
                <w:bCs w:val="0"/>
                <w:sz w:val="24"/>
                <w:szCs w:val="24"/>
              </w:rPr>
              <w:t xml:space="preserve">дель С.А., Таирова Р.Т., Шкарин В.В., Кураков Д.А., Савостина Е.А. Типовая модель процесса разработки стандартных операционных процедур в медицинской организации / Вестник Волгоградского государственного медицинского университета. 2019. № 2 (70). С. 38-41.</w:t>
            </w:r>
            <w:r>
              <w:rPr>
                <w:sz w:val="24"/>
                <w:szCs w:val="24"/>
              </w:rPr>
            </w:r>
            <w:r>
              <w:rPr>
                <w:sz w:val="24"/>
                <w:szCs w:val="24"/>
              </w:rPr>
            </w:r>
          </w:p>
          <w:p>
            <w:pPr>
              <w:pStyle w:val="918"/>
              <w:ind w:right="0" w:firstLine="0"/>
              <w:jc w:val="both"/>
              <w:spacing w:before="0" w:after="0" w:line="240" w:lineRule="auto"/>
              <w:widowControl w:val="off"/>
              <w:rPr>
                <w:b w:val="0"/>
                <w:bCs w:val="0"/>
                <w:sz w:val="24"/>
                <w:szCs w:val="24"/>
              </w:rPr>
            </w:pPr>
            <w:r>
              <w:rPr>
                <w:b w:val="0"/>
                <w:bCs w:val="0"/>
                <w:sz w:val="24"/>
                <w:szCs w:val="24"/>
              </w:rPr>
            </w:r>
            <w:r>
              <w:rPr>
                <w:b w:val="0"/>
                <w:bCs w:val="0"/>
                <w:sz w:val="24"/>
                <w:szCs w:val="24"/>
              </w:rPr>
            </w:r>
            <w:r>
              <w:rPr>
                <w:b w:val="0"/>
                <w:bCs w:val="0"/>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II.</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1. Method for Determining the Dominant </w:t>
            </w:r>
            <w:r>
              <w:rPr>
                <w:rFonts w:ascii="Times New Roman" w:hAnsi="Times New Roman" w:cs="Times New Roman"/>
                <w:b w:val="0"/>
                <w:bCs w:val="0"/>
                <w:sz w:val="24"/>
                <w:szCs w:val="24"/>
              </w:rPr>
              <w:t xml:space="preserve">Type of Human Breathing Using Motion Capture and Machine Learning / Ю.А. Орлова, А.С. Горобцов, О.А. Сычев, В.Л. Розалиев, А.В. Зубков, А.Р. Донская // Algorithms. - 2023. - Vol. 16, issue 5. – Article 249. – 25 p. – DOI: https://doi.org/10.3390/a16050249.</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2. Performance Study of SIFT and Swin Transformer Algorithms in Fuzzy Duplicate Image Detection Problem / Д.В. Быстряков, Д.В. Левшин, А.В. Зубков, А.Р. Донская // Novel and Intelligent Digital Systems : Proceedings of the 4th International Confe</w:t>
            </w:r>
            <w:r>
              <w:rPr>
                <w:rFonts w:ascii="Times New Roman" w:hAnsi="Times New Roman" w:cs="Times New Roman"/>
                <w:b w:val="0"/>
                <w:bCs w:val="0"/>
                <w:sz w:val="24"/>
                <w:szCs w:val="24"/>
              </w:rPr>
              <w:t xml:space="preserve">rence (NiDS 2024) (Athens, Greece, September 25-27, 2024) / ed. by P. Mylonas, D. Kardaras, J. Caro ; University of West Attica. – Cham (Switzerland) : Springer Nature Switzerland AG, 2024. – P. 606-610. - DOI: https://doi.org/10.1007/978-3-031-73344-4_52.</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3. An Expert System for the Priorities Formation in Sustainable Development Fundamental Research / А.В. Зубков, I.B. Mamai, С.В. Проничкин, А.В. Холстов // Software Engineering Application in Systems Design : Proceedings of 6th</w:t>
            </w:r>
            <w:r>
              <w:rPr>
                <w:rFonts w:ascii="Times New Roman" w:hAnsi="Times New Roman" w:cs="Times New Roman"/>
                <w:b w:val="0"/>
                <w:bCs w:val="0"/>
                <w:sz w:val="24"/>
                <w:szCs w:val="24"/>
              </w:rPr>
              <w:t xml:space="preserve"> Computational Methods in Systems and Software (CoMeSySo 2022) Conference (October 2022). Vol. 1 / eds.: Radek Silhavy [et al.]. – Cham (Switzerland) : Springer Nature Switzerland AG, 2023. – P. 831-839. – DOI: https://doi.org/10.1007/978-3-031-21435-6_73.</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4. Development of Models and Methods for Building a Psychological Portrait of a Person B</w:t>
            </w:r>
            <w:r>
              <w:rPr>
                <w:rFonts w:ascii="Times New Roman" w:hAnsi="Times New Roman" w:cs="Times New Roman"/>
                <w:b w:val="0"/>
                <w:bCs w:val="0"/>
                <w:sz w:val="24"/>
                <w:szCs w:val="24"/>
              </w:rPr>
              <w:t xml:space="preserve">ased on Information from Social Networks / В.А. Литвиненко, Р.В. Титов, А.В. Зубков, Ю.А. Орлова, Я.В. Куликова // Novel &amp; Intelligent Digital Systems : Proceedings of the 2nd International Conference (NiDS 2022) (Athens, Greece, 29-30 September, 2022 ; vi</w:t>
            </w:r>
            <w:r>
              <w:rPr>
                <w:rFonts w:ascii="Times New Roman" w:hAnsi="Times New Roman" w:cs="Times New Roman"/>
                <w:b w:val="0"/>
                <w:bCs w:val="0"/>
                <w:sz w:val="24"/>
                <w:szCs w:val="24"/>
              </w:rPr>
              <w:t xml:space="preserve">rtually) / eds.: A. Krouska, Ch. Troussas, J. Caro ; Institute of Intelligent Systems (IIS), University of West Attica (Greece). – Cham (Switzerland) : Springer Nature Switzerland AG, 2023. – P. 328-335. – DOI: https://doi.org/10.1007/978-3-031-17601-2_32.</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5. Identification of the Problem of Neural Network Stability in Breast Cancer Classi</w:t>
            </w:r>
            <w:r>
              <w:rPr>
                <w:rFonts w:ascii="Times New Roman" w:hAnsi="Times New Roman" w:cs="Times New Roman"/>
                <w:b w:val="0"/>
                <w:bCs w:val="0"/>
                <w:sz w:val="24"/>
                <w:szCs w:val="24"/>
              </w:rPr>
              <w:t xml:space="preserve">fication by Histological Micrographs / Д.А. Сасов, Ю.А. Орлова, А.Р. Донская, А.В. Зубков, А.И. Кузнецова, В.В. Носкин // Novel &amp; Intelligent Digital Systems : Proceedings of the 3rd International Conference (NiDS 2023) (Athens, Greece, 28-29 September, 20</w:t>
            </w:r>
            <w:r>
              <w:rPr>
                <w:rFonts w:ascii="Times New Roman" w:hAnsi="Times New Roman" w:cs="Times New Roman"/>
                <w:b w:val="0"/>
                <w:bCs w:val="0"/>
                <w:sz w:val="24"/>
                <w:szCs w:val="24"/>
              </w:rPr>
              <w:t xml:space="preserve">23) / eds.: K. Kabassi, P. Mylonas, J. Caro ; Institute of Intelligent Systems (IIS), University of West Attica (Greece). – Cham (Switzerland) : Springer Nature Switzerland AG, 2023. – Vol. 1. – P. 80-90. – DOI: https://doi.org/10.1007/978-3-031-44097-7_8.</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6. Intelligent Methods for Restructuring Digital Science-Intensive Solutions of Network Innovation Institutions / А.В. Зубков, С.В. Проничкин, О.К. Касымов, В.В. Гилка, В.Л. Розалиев // Software Engineering Applicat</w:t>
            </w:r>
            <w:r>
              <w:rPr>
                <w:rFonts w:ascii="Times New Roman" w:hAnsi="Times New Roman" w:cs="Times New Roman"/>
                <w:b w:val="0"/>
                <w:bCs w:val="0"/>
                <w:sz w:val="24"/>
                <w:szCs w:val="24"/>
              </w:rPr>
              <w:t xml:space="preserve">ion in Systems Design : Proceedings of 6th Computational Methods in Systems and Software (CoMeSySo 2022) Conference (October 2022). Vol. 1 / eds.: Radek Silhavy [et al.]. – Cham (Switzerland) : Springer Nature Switzerland AG, 2023. – Vol. 1. – P. 817-823. </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7. Methodology for Analyzing the Scientific and Technical Complexes State Dynamics / А.Д. Ульев, С.В. Проничкин, А.В. Зубков, В.Л. Розалиев // Cybernetics Perspec</w:t>
            </w:r>
            <w:r>
              <w:rPr>
                <w:rFonts w:ascii="Times New Roman" w:hAnsi="Times New Roman" w:cs="Times New Roman"/>
                <w:b w:val="0"/>
                <w:bCs w:val="0"/>
                <w:sz w:val="24"/>
                <w:szCs w:val="24"/>
              </w:rPr>
              <w:t xml:space="preserve">tives in Systems : Proceedings of 11th Computer Science On-line Conference (CSOC 2022) (April 2022). Vol. 3 / ed. by R. Silhavy. – Cham (Switzerland) : Springer Nature Switzerland AG, 2022. – P. 576-581. – DOI: https://doi.org/10.1007/978-3-031-09073-8_49.</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8. Development of a compre</w:t>
            </w:r>
            <w:r>
              <w:rPr>
                <w:rFonts w:ascii="Times New Roman" w:hAnsi="Times New Roman" w:cs="Times New Roman"/>
                <w:b w:val="0"/>
                <w:bCs w:val="0"/>
                <w:sz w:val="24"/>
                <w:szCs w:val="24"/>
              </w:rPr>
              <w:t xml:space="preserve">hensive approach to personalized patronage of patients with stable angina using a mobile application / Ю.А. Орлова, М.Ю. Фролов, А.В. Зубков, Н.Д. Сибирный, А.Р. Донская // Journal of Physics: Conference Series. Vol. 1801 : International Scientific Confere</w:t>
            </w:r>
            <w:r>
              <w:rPr>
                <w:rFonts w:ascii="Times New Roman" w:hAnsi="Times New Roman" w:cs="Times New Roman"/>
                <w:b w:val="0"/>
                <w:bCs w:val="0"/>
                <w:sz w:val="24"/>
                <w:szCs w:val="24"/>
              </w:rPr>
              <w:t xml:space="preserve">nce Artificial intelligence and digital technologies in technical systems2020 (AIDTTS-2020) (Volgograd, Russian Federation, 20-21 October 2020) / Volgograd State Technical University. – [IOP Publishing], 2021. – 6 p. – DOI: 10.1088/1742-6596/1801/1/012038.</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9. Зубков, А.В. Development of an Integrated Approach and Automated Tools for Determining the Emotional State of a Human, Using Various Types of Digital C</w:t>
            </w:r>
            <w:r>
              <w:rPr>
                <w:rFonts w:ascii="Times New Roman" w:hAnsi="Times New Roman" w:cs="Times New Roman"/>
                <w:b w:val="0"/>
                <w:bCs w:val="0"/>
                <w:sz w:val="24"/>
                <w:szCs w:val="24"/>
              </w:rPr>
              <w:t xml:space="preserve">ontext / А.В. Зубков, В.Л. Розалиев, Ю.А. Орлова // Advances in Automation II : Proceedings of the International Russian Automation Conference RusAutoConf2020 (Sochi, Russia, September 6-12, 2020) / ed. by A. A.Radionov, V. R.Gasiyarov ; South Ural State U</w:t>
            </w:r>
            <w:r>
              <w:rPr>
                <w:rFonts w:ascii="Times New Roman" w:hAnsi="Times New Roman" w:cs="Times New Roman"/>
                <w:b w:val="0"/>
                <w:bCs w:val="0"/>
                <w:sz w:val="24"/>
                <w:szCs w:val="24"/>
              </w:rPr>
              <w:t xml:space="preserve">niversity (national research university). – Cham (Switzerland) : Springer Nature Switzerland AG, 2021. – P. 994-1004. – URL : https://link.springer.com/book/10.1007/978-3-030-71119-1. – (Book Ser.: Lecture Notes in Electrical Engineering(LNEE) ; vol. 729).</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10. </w:t>
            </w:r>
            <w:r>
              <w:rPr>
                <w:rFonts w:ascii="Times New Roman" w:hAnsi="Times New Roman" w:cs="Times New Roman"/>
                <w:b w:val="0"/>
                <w:bCs w:val="0"/>
                <w:sz w:val="24"/>
                <w:szCs w:val="24"/>
              </w:rPr>
              <w:t xml:space="preserve">Digitalization of the process of postoperative care for a patient on the example of hip replacement / О.А. Каплунов, М.Ю. Фролов, Ю.А. Орлова, А.В. Зубков, Н.Д. Сибирный // Journal of Physics: Conference Series. Vol. 1801 : International Scientific Confere</w:t>
            </w:r>
            <w:r>
              <w:rPr>
                <w:rFonts w:ascii="Times New Roman" w:hAnsi="Times New Roman" w:cs="Times New Roman"/>
                <w:b w:val="0"/>
                <w:bCs w:val="0"/>
                <w:sz w:val="24"/>
                <w:szCs w:val="24"/>
              </w:rPr>
              <w:t xml:space="preserve">nce Artificial intelligence and digital technologies in technical systems2020 (AIDTTS-2020) (Volgograd, Russian Federation, 20-21 October 2020) / Volgograd State Technical University. – [IOP Publishing], 2021. – 6 p. – DOI: 10.1088/1742-6596/1801/1/012039.</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11. Интеллектуальная рекомендательная система для реабилитации пациентов / А.В. Заболеева-Зотова, Ю.А. Орлова, А.В. Зубков, А.Р. Донская // Искусственный интеллект и принятие решений. - 2024. - № 1. - C. 26-37.</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12. Искусственный интеллект в скрининге и ранней диагностике новообразований поджелу</w:t>
            </w:r>
            <w:r>
              <w:rPr>
                <w:rFonts w:ascii="Times New Roman" w:hAnsi="Times New Roman" w:cs="Times New Roman"/>
                <w:b w:val="0"/>
                <w:bCs w:val="0"/>
                <w:sz w:val="24"/>
                <w:szCs w:val="24"/>
              </w:rPr>
              <w:t xml:space="preserve">дочной железы в условиях централизации лабораторной службы региона (Artificial intelligence for screening and early diagnosis of pancreatic neoplasms in the context of centralization of the laboratory service in the region) / С.И. Панин, В.А. Суворов, А.В.</w:t>
            </w:r>
            <w:r>
              <w:rPr>
                <w:rFonts w:ascii="Times New Roman" w:hAnsi="Times New Roman" w:cs="Times New Roman"/>
                <w:b w:val="0"/>
                <w:bCs w:val="0"/>
                <w:sz w:val="24"/>
                <w:szCs w:val="24"/>
              </w:rPr>
              <w:t xml:space="preserve"> Зубков, С.А. Безбородов, А.А. Панина, Н.В. Коваленко, А.Р. Донская, И.Г. Шушкова, А.В. Быков, Я.А. Маренков // Сибирский онкологический журнал / Siberian Journal of Oncology. - 2024. - Т. 23, № 3. - C. 124-132. – DOI: 10.21294/1814-4861-2024-23-3-124-132.</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13. Искусственный интеллект, машинное обучен</w:t>
            </w:r>
            <w:r>
              <w:rPr>
                <w:rFonts w:ascii="Times New Roman" w:hAnsi="Times New Roman" w:cs="Times New Roman"/>
                <w:b w:val="0"/>
                <w:bCs w:val="0"/>
                <w:sz w:val="24"/>
                <w:szCs w:val="24"/>
              </w:rPr>
              <w:t xml:space="preserve">ие и нейронные сети в морфологии / Н.А. Дорофеев, Г.Л. Снигур, М.Ю. Фролов, А.В. Смирнов, Д.А. Сасов, А.В. Зубков // Вестник Волгоградского государственного медицинского университета. - 2024. - Т. 21, № 1. - C. 3-8. - DOI: 10.19163/1994-9480-2024-21-1-3-8.</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14. Исследование шаблона распределения внимания человека с по</w:t>
            </w:r>
            <w:r>
              <w:rPr>
                <w:rFonts w:ascii="Times New Roman" w:hAnsi="Times New Roman" w:cs="Times New Roman"/>
                <w:b w:val="0"/>
                <w:bCs w:val="0"/>
                <w:sz w:val="24"/>
                <w:szCs w:val="24"/>
              </w:rPr>
              <w:t xml:space="preserve">мощью технологии айтрекинг / М.А. Болдырев, А.В. Зубков, А.Р. Донская, М.А. Скляров, В.А. Попов, М.А. Евлахова, С.В. Степанов // Инженерный вестник Дона : сетевой журнал. - 2024. - № 12. – 13 с. – URL: http://www.ivdon.ru/ru/magazine/archive/n12y2024/9666.</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15.Классификация рака молочной железы по гистологическим микрофотографиям с помощью нейронных сетей / Д.А. Сасов, А.В. Зубков, Н.А. Дорофеев, Ю.А. Орлова, М.Ю. Фролов // Прикаспийский журнал: управление и высокие технологии. - 2023. - № 3 (63).</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16. Разработка метода поиска клинических исследований по включающим факторам / А.Р. Донская, Н.Д. Сибирный, А.В. Зубков, Ю.А. Орлова, М.Ю. Фролов, А.С. Саласюк // Инженерный вестник Дона. - 2022. - № 12. - 12 с.</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18. Разработка метода построения автоматизированного аккомпанемента на базе основной мелодии / Е.Ю. Тараканова, С.В. Степанов, А.С. Зубанков, Д.А. Барышев, А.В. Зубков // Инженерный вестник Дона. - 2022. - № 7. – 12 с.</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19. Информационный софт-патронаж пациента после операции эндопротезирования тазобедренного сустава (предварительное сообщение) = IT-based support applications for patient </w:t>
            </w:r>
            <w:r>
              <w:rPr>
                <w:rFonts w:ascii="Times New Roman" w:hAnsi="Times New Roman" w:cs="Times New Roman"/>
                <w:b w:val="0"/>
                <w:bCs w:val="0"/>
                <w:sz w:val="24"/>
                <w:szCs w:val="24"/>
              </w:rPr>
              <w:t xml:space="preserve">patronage after hip joint arthroplasty (preliminary report) / О.А. Каплунов, Ю.А. Орлова, А.В. Зубков, Е.Ю. Некрасов, Р.И. Габидуллин, В.М. Константинов, В.Л. Розалиев, К.О. Каплунов // Гений ортопедии (Genij Ortopedii). - 2020. - Т. 26, № 4. - C. 489-494.</w:t>
            </w:r>
            <w:r>
              <w:rPr>
                <w:sz w:val="24"/>
                <w:szCs w:val="24"/>
              </w:rPr>
            </w:r>
            <w:r>
              <w:rPr>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20. Разработка технологии и средств интерактивной поддержки пациента со ст</w:t>
            </w:r>
            <w:r>
              <w:rPr>
                <w:rFonts w:ascii="Times New Roman" w:hAnsi="Times New Roman" w:cs="Times New Roman"/>
                <w:b w:val="0"/>
                <w:bCs w:val="0"/>
                <w:sz w:val="24"/>
                <w:szCs w:val="24"/>
              </w:rPr>
              <w:t xml:space="preserve">абильной стенокардией / Ю.А. Орлова, В.Л. Розалиев, А.В. Зубков, А.С. Дмитриев // Известия Юго-Западного государственного университета. Сер. Управление, вычислительная техника, информатика. Медицинское приборостроение. - 2019. - Т. 9, № 4 (33). - C. 24-48.</w:t>
            </w:r>
            <w:r>
              <w:rPr>
                <w:sz w:val="24"/>
                <w:szCs w:val="24"/>
              </w:rPr>
            </w:r>
            <w:r>
              <w:rPr>
                <w:sz w:val="24"/>
                <w:szCs w:val="24"/>
              </w:rPr>
            </w:r>
          </w:p>
          <w:p>
            <w:pPr>
              <w:pStyle w:val="918"/>
              <w:ind w:right="0" w:firstLine="0"/>
              <w:jc w:val="both"/>
              <w:spacing w:before="0" w:after="0" w:line="240" w:lineRule="auto"/>
              <w:widowControl w:val="off"/>
              <w:rPr>
                <w:b w:val="0"/>
                <w:bCs w:val="0"/>
                <w:sz w:val="24"/>
                <w:szCs w:val="24"/>
              </w:rPr>
            </w:pPr>
            <w:r>
              <w:rPr>
                <w:b w:val="0"/>
                <w:bCs w:val="0"/>
                <w:sz w:val="24"/>
                <w:szCs w:val="24"/>
              </w:rPr>
            </w:r>
            <w:r>
              <w:rPr>
                <w:b w:val="0"/>
                <w:bCs w:val="0"/>
                <w:sz w:val="24"/>
                <w:szCs w:val="24"/>
              </w:rPr>
            </w:r>
            <w:r>
              <w:rPr>
                <w:b w:val="0"/>
                <w:bCs w:val="0"/>
                <w:sz w:val="24"/>
                <w:szCs w:val="24"/>
              </w:rPr>
            </w:r>
          </w:p>
          <w:p>
            <w:pPr>
              <w:pStyle w:val="918"/>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III.</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1. Дорофеев Н.А., Снигур Г.Л., Фролов М.Ю., Смирнов А.В., Сасов Д.А., Зубков А.В. Искусственный интеллект, машинное обучение и нейронные сети в морфологии. Вестник</w:t>
            </w: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rPr>
              <w:t xml:space="preserve">Волгоградского</w:t>
            </w: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rPr>
              <w:t xml:space="preserve">государственного</w:t>
            </w: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rPr>
              <w:t xml:space="preserve">медицинского</w:t>
            </w:r>
            <w:r>
              <w:rPr>
                <w:rFonts w:ascii="Times New Roman" w:hAnsi="Times New Roman" w:cs="Times New Roman"/>
                <w:b w:val="0"/>
                <w:bCs w:val="0"/>
                <w:sz w:val="24"/>
                <w:szCs w:val="24"/>
                <w:lang w:val="en-US"/>
              </w:rPr>
              <w:t xml:space="preserve"> </w:t>
            </w:r>
            <w:r>
              <w:rPr>
                <w:rFonts w:ascii="Times New Roman" w:hAnsi="Times New Roman" w:cs="Times New Roman"/>
                <w:b w:val="0"/>
                <w:bCs w:val="0"/>
                <w:sz w:val="24"/>
                <w:szCs w:val="24"/>
              </w:rPr>
              <w:t xml:space="preserve">университета</w:t>
            </w:r>
            <w:r>
              <w:rPr>
                <w:rFonts w:ascii="Times New Roman" w:hAnsi="Times New Roman" w:cs="Times New Roman"/>
                <w:b w:val="0"/>
                <w:bCs w:val="0"/>
                <w:sz w:val="24"/>
                <w:szCs w:val="24"/>
                <w:lang w:val="en-US"/>
              </w:rPr>
              <w:t xml:space="preserve">. 2024. </w:t>
            </w:r>
            <w:r>
              <w:rPr>
                <w:rFonts w:ascii="Times New Roman" w:hAnsi="Times New Roman" w:cs="Times New Roman"/>
                <w:b w:val="0"/>
                <w:bCs w:val="0"/>
                <w:sz w:val="24"/>
                <w:szCs w:val="24"/>
              </w:rPr>
              <w:t xml:space="preserve">Т</w:t>
            </w:r>
            <w:r>
              <w:rPr>
                <w:rFonts w:ascii="Times New Roman" w:hAnsi="Times New Roman" w:cs="Times New Roman"/>
                <w:b w:val="0"/>
                <w:bCs w:val="0"/>
                <w:sz w:val="24"/>
                <w:szCs w:val="24"/>
                <w:lang w:val="en-US"/>
              </w:rPr>
              <w:t xml:space="preserve">. 21. № 1. </w:t>
            </w:r>
            <w:r>
              <w:rPr>
                <w:rFonts w:ascii="Times New Roman" w:hAnsi="Times New Roman" w:cs="Times New Roman"/>
                <w:b w:val="0"/>
                <w:bCs w:val="0"/>
                <w:sz w:val="24"/>
                <w:szCs w:val="24"/>
              </w:rPr>
              <w:t xml:space="preserve">С</w:t>
            </w:r>
            <w:r>
              <w:rPr>
                <w:rFonts w:ascii="Times New Roman" w:hAnsi="Times New Roman" w:cs="Times New Roman"/>
                <w:b w:val="0"/>
                <w:bCs w:val="0"/>
                <w:sz w:val="24"/>
                <w:szCs w:val="24"/>
                <w:lang w:val="en-US"/>
              </w:rPr>
              <w:t xml:space="preserve">. 3-8.</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lang w:val="en-US"/>
              </w:rPr>
              <w:t xml:space="preserve">2. Tyurenkov I.N., Bakulin D.A., Velikorodnaya Yu.I., Borisov A.V., Abrosimova E.E., Smirnov A.V., Snigur G.L., Surin S.S., Kavalerova D.A., Vasilyeva O.S. Pancreatic </w:t>
            </w:r>
            <w:r>
              <w:rPr>
                <w:rFonts w:ascii="Times New Roman" w:hAnsi="Times New Roman" w:cs="Times New Roman"/>
                <w:b w:val="0"/>
                <w:bCs w:val="0"/>
                <w:sz w:val="24"/>
                <w:szCs w:val="24"/>
              </w:rPr>
              <w:t xml:space="preserve">β</w:t>
            </w:r>
            <w:r>
              <w:rPr>
                <w:rFonts w:ascii="Times New Roman" w:hAnsi="Times New Roman" w:cs="Times New Roman"/>
                <w:b w:val="0"/>
                <w:bCs w:val="0"/>
                <w:sz w:val="24"/>
                <w:szCs w:val="24"/>
                <w:lang w:val="en-US"/>
              </w:rPr>
              <w:t xml:space="preserve">-cell protective effect of novel GABA derivatives in rats with type 2 diabetes. Research Results in Pharmacology. 2023. </w:t>
            </w:r>
            <w:r>
              <w:rPr>
                <w:rFonts w:ascii="Times New Roman" w:hAnsi="Times New Roman" w:cs="Times New Roman"/>
                <w:b w:val="0"/>
                <w:bCs w:val="0"/>
                <w:sz w:val="24"/>
                <w:szCs w:val="24"/>
              </w:rPr>
              <w:t xml:space="preserve">Т</w:t>
            </w:r>
            <w:r>
              <w:rPr>
                <w:rFonts w:ascii="Times New Roman" w:hAnsi="Times New Roman" w:cs="Times New Roman"/>
                <w:b w:val="0"/>
                <w:bCs w:val="0"/>
                <w:sz w:val="24"/>
                <w:szCs w:val="24"/>
                <w:lang w:val="en-US"/>
              </w:rPr>
              <w:t xml:space="preserve">. 9. № 3. </w:t>
            </w:r>
            <w:r>
              <w:rPr>
                <w:rFonts w:ascii="Times New Roman" w:hAnsi="Times New Roman" w:cs="Times New Roman"/>
                <w:b w:val="0"/>
                <w:bCs w:val="0"/>
                <w:sz w:val="24"/>
                <w:szCs w:val="24"/>
              </w:rPr>
              <w:t xml:space="preserve">С</w:t>
            </w:r>
            <w:r>
              <w:rPr>
                <w:rFonts w:ascii="Times New Roman" w:hAnsi="Times New Roman" w:cs="Times New Roman"/>
                <w:b w:val="0"/>
                <w:bCs w:val="0"/>
                <w:sz w:val="24"/>
                <w:szCs w:val="24"/>
                <w:lang w:val="en-US"/>
              </w:rPr>
              <w:t xml:space="preserve">. 59-70.</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3. Тюренков И.Н., Бакулин Д.А., Смирнов А.В., Экова</w:t>
            </w:r>
            <w:r>
              <w:rPr>
                <w:rFonts w:ascii="Times New Roman" w:hAnsi="Times New Roman" w:cs="Times New Roman"/>
                <w:b w:val="0"/>
                <w:bCs w:val="0"/>
                <w:sz w:val="24"/>
                <w:szCs w:val="24"/>
              </w:rPr>
              <w:t xml:space="preserve"> М.Р., Бисинбекова А.И., Снигур Г.Л., Великородная Ю.И., Морковин Д.В., Верхоляк Д.В., Васильева О.С. Нейропротективные свойства ГАМК и её производных при диабетической энцефалопатии у старых животных. Фармация и фармакология. 2023. Т. 11. № 3. С. 211-227.</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4. Кавалерова Д.А., Снигур Г.Л., </w:t>
            </w:r>
            <w:r>
              <w:rPr>
                <w:rFonts w:ascii="Times New Roman" w:hAnsi="Times New Roman" w:cs="Times New Roman"/>
                <w:b w:val="0"/>
                <w:bCs w:val="0"/>
                <w:sz w:val="24"/>
                <w:szCs w:val="24"/>
              </w:rPr>
              <w:t xml:space="preserve">Сурин С.С., Тюренков И.Н., Бакулин Д.А., Сахарова Э.Ю. Особенности экспрессии белка клото в почках крыс при экспериментальной гипергликемии на фоне фармакологической коррекции производными ГАМК. Журнал анатомии и гистопатологии. 2023. Т. 12. № 4. С. 38-46.</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5. Ефимов Ю.В., </w:t>
            </w:r>
            <w:r>
              <w:rPr>
                <w:rFonts w:ascii="Times New Roman" w:hAnsi="Times New Roman" w:cs="Times New Roman"/>
                <w:b w:val="0"/>
                <w:bCs w:val="0"/>
                <w:sz w:val="24"/>
                <w:szCs w:val="24"/>
              </w:rPr>
              <w:t xml:space="preserve">Фомичёв Е.В., Снигур Г.Л., Киреев П.В., Ефимова Е.В. Замещение послеоперационных дефектов челюстей с помощью отечественного остеопластического материала bio ost. Вестник Волгоградского государственного медицинского университета. 2022. Т. 19. № 1. С. 68-72.</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6. Молчанова Е.В., Снигур Г.Л., Герасимова А.Д., Лучинин Д.Н., Гусев Е.А. Сочетанная инфекция вирусом синдбис и вирусом западного нила в эксперименте. Инфекционные болезни: новости, мнения, обучение. 2022. Т. 11. № 2 (41). С. 77-84.</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lang w:val="en-US"/>
              </w:rPr>
              <w:t xml:space="preserve">7. Khvoro</w:t>
            </w:r>
            <w:r>
              <w:rPr>
                <w:rFonts w:ascii="Times New Roman" w:hAnsi="Times New Roman" w:cs="Times New Roman"/>
                <w:b w:val="0"/>
                <w:bCs w:val="0"/>
                <w:sz w:val="24"/>
                <w:szCs w:val="24"/>
                <w:lang w:val="en-US"/>
              </w:rPr>
              <w:t xml:space="preserve">stov I., Sinitsyn A., Snigur G., Gusev A., Dyakonova E., Yatsyk S. Clinical, morphological, and immunohistochemical justification of surgery for chronic appendicitis in children. Journal of Laparoendoscopic and Advanced Surgical Techniques - Part A. 2021. </w:t>
            </w:r>
            <w:r>
              <w:rPr>
                <w:rFonts w:ascii="Times New Roman" w:hAnsi="Times New Roman" w:cs="Times New Roman"/>
                <w:b w:val="0"/>
                <w:bCs w:val="0"/>
                <w:sz w:val="24"/>
                <w:szCs w:val="24"/>
              </w:rPr>
              <w:t xml:space="preserve">Т</w:t>
            </w:r>
            <w:r>
              <w:rPr>
                <w:rFonts w:ascii="Times New Roman" w:hAnsi="Times New Roman" w:cs="Times New Roman"/>
                <w:b w:val="0"/>
                <w:bCs w:val="0"/>
                <w:sz w:val="24"/>
                <w:szCs w:val="24"/>
                <w:lang w:val="en-US"/>
              </w:rPr>
              <w:t xml:space="preserve">. 31. </w:t>
            </w:r>
            <w:r>
              <w:rPr>
                <w:rFonts w:ascii="Times New Roman" w:hAnsi="Times New Roman" w:cs="Times New Roman"/>
                <w:b w:val="0"/>
                <w:bCs w:val="0"/>
                <w:sz w:val="24"/>
                <w:szCs w:val="24"/>
              </w:rPr>
              <w:t xml:space="preserve">№ 12. С. 1397-1401.</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8. Ермилов В.</w:t>
            </w:r>
            <w:r>
              <w:rPr>
                <w:rFonts w:ascii="Times New Roman" w:hAnsi="Times New Roman" w:cs="Times New Roman"/>
                <w:b w:val="0"/>
                <w:bCs w:val="0"/>
                <w:sz w:val="24"/>
                <w:szCs w:val="24"/>
              </w:rPr>
              <w:t xml:space="preserve">В., Дорофеев Н.А., Барканов В.Б., Поплавский А.Э., Снигур Г.Л. Особенности гранулематозного воспаления при гельминтозах, микозах и протозойных заболеваниях человека в судебно-медицинской практике. Судебно-медицинская экспертиза. 2020. Т. 63. № 6. С. 51-56.</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9. </w:t>
            </w:r>
            <w:r>
              <w:rPr>
                <w:rFonts w:ascii="Times New Roman" w:hAnsi="Times New Roman" w:cs="Times New Roman"/>
                <w:b w:val="0"/>
                <w:bCs w:val="0"/>
                <w:sz w:val="24"/>
                <w:szCs w:val="24"/>
                <w:lang w:val="en-US" w:eastAsia="ru-RU"/>
              </w:rPr>
              <w:t xml:space="preserve">Tyurenkov</w:t>
            </w:r>
            <w:r>
              <w:rPr>
                <w:rFonts w:ascii="Times New Roman" w:hAnsi="Times New Roman" w:cs="Times New Roman"/>
                <w:b w:val="0"/>
                <w:bCs w:val="0"/>
                <w:sz w:val="24"/>
                <w:szCs w:val="24"/>
                <w:lang w:eastAsia="ru-RU"/>
              </w:rPr>
              <w:t xml:space="preserve">, </w:t>
            </w:r>
            <w:r>
              <w:rPr>
                <w:rFonts w:ascii="Times New Roman" w:hAnsi="Times New Roman" w:cs="Times New Roman"/>
                <w:b w:val="0"/>
                <w:bCs w:val="0"/>
                <w:sz w:val="24"/>
                <w:szCs w:val="24"/>
                <w:lang w:val="en-US" w:eastAsia="ru-RU"/>
              </w:rPr>
              <w:t xml:space="preserve">I</w:t>
            </w:r>
            <w:r>
              <w:rPr>
                <w:rFonts w:ascii="Times New Roman" w:hAnsi="Times New Roman" w:cs="Times New Roman"/>
                <w:b w:val="0"/>
                <w:bCs w:val="0"/>
                <w:sz w:val="24"/>
                <w:szCs w:val="24"/>
                <w:lang w:eastAsia="ru-RU"/>
              </w:rPr>
              <w:t xml:space="preserve">.</w:t>
            </w:r>
            <w:r>
              <w:rPr>
                <w:rFonts w:ascii="Times New Roman" w:hAnsi="Times New Roman" w:cs="Times New Roman"/>
                <w:b w:val="0"/>
                <w:bCs w:val="0"/>
                <w:sz w:val="24"/>
                <w:szCs w:val="24"/>
                <w:lang w:val="en-US" w:eastAsia="ru-RU"/>
              </w:rPr>
              <w:t xml:space="preserve">N</w:t>
            </w:r>
            <w:r>
              <w:rPr>
                <w:rFonts w:ascii="Times New Roman" w:hAnsi="Times New Roman" w:cs="Times New Roman"/>
                <w:b w:val="0"/>
                <w:bCs w:val="0"/>
                <w:sz w:val="24"/>
                <w:szCs w:val="24"/>
                <w:lang w:eastAsia="ru-RU"/>
              </w:rPr>
              <w:t xml:space="preserve">., </w:t>
            </w:r>
            <w:r>
              <w:rPr>
                <w:rFonts w:ascii="Times New Roman" w:hAnsi="Times New Roman" w:cs="Times New Roman"/>
                <w:b w:val="0"/>
                <w:bCs w:val="0"/>
                <w:sz w:val="24"/>
                <w:szCs w:val="24"/>
                <w:lang w:val="en-US" w:eastAsia="ru-RU"/>
              </w:rPr>
              <w:t xml:space="preserve">Smirnov</w:t>
            </w:r>
            <w:r>
              <w:rPr>
                <w:rFonts w:ascii="Times New Roman" w:hAnsi="Times New Roman" w:cs="Times New Roman"/>
                <w:b w:val="0"/>
                <w:bCs w:val="0"/>
                <w:sz w:val="24"/>
                <w:szCs w:val="24"/>
                <w:lang w:eastAsia="ru-RU"/>
              </w:rPr>
              <w:t xml:space="preserve">, </w:t>
            </w:r>
            <w:r>
              <w:rPr>
                <w:rFonts w:ascii="Times New Roman" w:hAnsi="Times New Roman" w:cs="Times New Roman"/>
                <w:b w:val="0"/>
                <w:bCs w:val="0"/>
                <w:sz w:val="24"/>
                <w:szCs w:val="24"/>
                <w:lang w:val="en-US" w:eastAsia="ru-RU"/>
              </w:rPr>
              <w:t xml:space="preserve">A</w:t>
            </w:r>
            <w:r>
              <w:rPr>
                <w:rFonts w:ascii="Times New Roman" w:hAnsi="Times New Roman" w:cs="Times New Roman"/>
                <w:b w:val="0"/>
                <w:bCs w:val="0"/>
                <w:sz w:val="24"/>
                <w:szCs w:val="24"/>
                <w:lang w:eastAsia="ru-RU"/>
              </w:rPr>
              <w:t xml:space="preserve">.</w:t>
            </w:r>
            <w:r>
              <w:rPr>
                <w:rFonts w:ascii="Times New Roman" w:hAnsi="Times New Roman" w:cs="Times New Roman"/>
                <w:b w:val="0"/>
                <w:bCs w:val="0"/>
                <w:sz w:val="24"/>
                <w:szCs w:val="24"/>
                <w:lang w:val="en-US" w:eastAsia="ru-RU"/>
              </w:rPr>
              <w:t xml:space="preserve">V</w:t>
            </w:r>
            <w:r>
              <w:rPr>
                <w:rFonts w:ascii="Times New Roman" w:hAnsi="Times New Roman" w:cs="Times New Roman"/>
                <w:b w:val="0"/>
                <w:bCs w:val="0"/>
                <w:sz w:val="24"/>
                <w:szCs w:val="24"/>
                <w:lang w:eastAsia="ru-RU"/>
              </w:rPr>
              <w:t xml:space="preserve">., </w:t>
            </w:r>
            <w:r>
              <w:rPr>
                <w:rFonts w:ascii="Times New Roman" w:hAnsi="Times New Roman" w:cs="Times New Roman"/>
                <w:b w:val="0"/>
                <w:bCs w:val="0"/>
                <w:sz w:val="24"/>
                <w:szCs w:val="24"/>
                <w:lang w:val="en-US" w:eastAsia="ru-RU"/>
              </w:rPr>
              <w:t xml:space="preserve">Mednikov</w:t>
            </w:r>
            <w:r>
              <w:rPr>
                <w:rFonts w:ascii="Times New Roman" w:hAnsi="Times New Roman" w:cs="Times New Roman"/>
                <w:b w:val="0"/>
                <w:bCs w:val="0"/>
                <w:sz w:val="24"/>
                <w:szCs w:val="24"/>
                <w:lang w:eastAsia="ru-RU"/>
              </w:rPr>
              <w:t xml:space="preserve">, </w:t>
            </w:r>
            <w:r>
              <w:rPr>
                <w:rFonts w:ascii="Times New Roman" w:hAnsi="Times New Roman" w:cs="Times New Roman"/>
                <w:b w:val="0"/>
                <w:bCs w:val="0"/>
                <w:sz w:val="24"/>
                <w:szCs w:val="24"/>
                <w:lang w:val="en-US" w:eastAsia="ru-RU"/>
              </w:rPr>
              <w:t xml:space="preserve">D</w:t>
            </w:r>
            <w:r>
              <w:rPr>
                <w:rFonts w:ascii="Times New Roman" w:hAnsi="Times New Roman" w:cs="Times New Roman"/>
                <w:b w:val="0"/>
                <w:bCs w:val="0"/>
                <w:sz w:val="24"/>
                <w:szCs w:val="24"/>
                <w:lang w:eastAsia="ru-RU"/>
              </w:rPr>
              <w:t xml:space="preserve">.</w:t>
            </w:r>
            <w:r>
              <w:rPr>
                <w:rFonts w:ascii="Times New Roman" w:hAnsi="Times New Roman" w:cs="Times New Roman"/>
                <w:b w:val="0"/>
                <w:bCs w:val="0"/>
                <w:sz w:val="24"/>
                <w:szCs w:val="24"/>
                <w:lang w:val="en-US" w:eastAsia="ru-RU"/>
              </w:rPr>
              <w:t xml:space="preserve">S</w:t>
            </w:r>
            <w:r>
              <w:rPr>
                <w:rFonts w:ascii="Times New Roman" w:hAnsi="Times New Roman" w:cs="Times New Roman"/>
                <w:b w:val="0"/>
                <w:bCs w:val="0"/>
                <w:sz w:val="24"/>
                <w:szCs w:val="24"/>
                <w:lang w:eastAsia="ru-RU"/>
              </w:rPr>
              <w:t xml:space="preserve">., </w:t>
            </w:r>
            <w:r>
              <w:rPr>
                <w:rFonts w:ascii="Times New Roman" w:hAnsi="Times New Roman" w:cs="Times New Roman"/>
                <w:b w:val="0"/>
                <w:bCs w:val="0"/>
                <w:sz w:val="24"/>
                <w:szCs w:val="24"/>
                <w:lang w:val="en-US" w:eastAsia="ru-RU"/>
              </w:rPr>
              <w:t xml:space="preserve">Shmidt</w:t>
            </w:r>
            <w:r>
              <w:rPr>
                <w:rFonts w:ascii="Times New Roman" w:hAnsi="Times New Roman" w:cs="Times New Roman"/>
                <w:b w:val="0"/>
                <w:bCs w:val="0"/>
                <w:sz w:val="24"/>
                <w:szCs w:val="24"/>
                <w:lang w:eastAsia="ru-RU"/>
              </w:rPr>
              <w:t xml:space="preserve">, </w:t>
            </w:r>
            <w:r>
              <w:rPr>
                <w:rFonts w:ascii="Times New Roman" w:hAnsi="Times New Roman" w:cs="Times New Roman"/>
                <w:b w:val="0"/>
                <w:bCs w:val="0"/>
                <w:sz w:val="24"/>
                <w:szCs w:val="24"/>
                <w:lang w:val="en-US" w:eastAsia="ru-RU"/>
              </w:rPr>
              <w:t xml:space="preserve">M</w:t>
            </w:r>
            <w:r>
              <w:rPr>
                <w:rFonts w:ascii="Times New Roman" w:hAnsi="Times New Roman" w:cs="Times New Roman"/>
                <w:b w:val="0"/>
                <w:bCs w:val="0"/>
                <w:sz w:val="24"/>
                <w:szCs w:val="24"/>
                <w:lang w:eastAsia="ru-RU"/>
              </w:rPr>
              <w:t xml:space="preserve">. </w:t>
            </w:r>
            <w:r>
              <w:rPr>
                <w:rFonts w:ascii="Times New Roman" w:hAnsi="Times New Roman" w:cs="Times New Roman"/>
                <w:b w:val="0"/>
                <w:bCs w:val="0"/>
                <w:sz w:val="24"/>
                <w:szCs w:val="24"/>
                <w:lang w:val="en-US" w:eastAsia="ru-RU"/>
              </w:rPr>
              <w:t xml:space="preserve">V</w:t>
            </w:r>
            <w:r>
              <w:rPr>
                <w:rFonts w:ascii="Times New Roman" w:hAnsi="Times New Roman" w:cs="Times New Roman"/>
                <w:b w:val="0"/>
                <w:bCs w:val="0"/>
                <w:sz w:val="24"/>
                <w:szCs w:val="24"/>
                <w:lang w:eastAsia="ru-RU"/>
              </w:rPr>
              <w:t xml:space="preserve">., </w:t>
            </w:r>
            <w:r>
              <w:rPr>
                <w:rFonts w:ascii="Times New Roman" w:hAnsi="Times New Roman" w:cs="Times New Roman"/>
                <w:b w:val="0"/>
                <w:bCs w:val="0"/>
                <w:sz w:val="24"/>
                <w:szCs w:val="24"/>
                <w:lang w:val="en-US" w:eastAsia="ru-RU"/>
              </w:rPr>
              <w:t xml:space="preserve">Ekova</w:t>
            </w:r>
            <w:r>
              <w:rPr>
                <w:rFonts w:ascii="Times New Roman" w:hAnsi="Times New Roman" w:cs="Times New Roman"/>
                <w:b w:val="0"/>
                <w:bCs w:val="0"/>
                <w:sz w:val="24"/>
                <w:szCs w:val="24"/>
                <w:lang w:eastAsia="ru-RU"/>
              </w:rPr>
              <w:t xml:space="preserve">, </w:t>
            </w:r>
            <w:r>
              <w:rPr>
                <w:rFonts w:ascii="Times New Roman" w:hAnsi="Times New Roman" w:cs="Times New Roman"/>
                <w:b w:val="0"/>
                <w:bCs w:val="0"/>
                <w:sz w:val="24"/>
                <w:szCs w:val="24"/>
                <w:lang w:val="en-US" w:eastAsia="ru-RU"/>
              </w:rPr>
              <w:t xml:space="preserve">M</w:t>
            </w:r>
            <w:r>
              <w:rPr>
                <w:rFonts w:ascii="Times New Roman" w:hAnsi="Times New Roman" w:cs="Times New Roman"/>
                <w:b w:val="0"/>
                <w:bCs w:val="0"/>
                <w:sz w:val="24"/>
                <w:szCs w:val="24"/>
                <w:lang w:eastAsia="ru-RU"/>
              </w:rPr>
              <w:t xml:space="preserve">. </w:t>
            </w:r>
            <w:r>
              <w:rPr>
                <w:rFonts w:ascii="Times New Roman" w:hAnsi="Times New Roman" w:cs="Times New Roman"/>
                <w:b w:val="0"/>
                <w:bCs w:val="0"/>
                <w:sz w:val="24"/>
                <w:szCs w:val="24"/>
                <w:lang w:val="en-US" w:eastAsia="ru-RU"/>
              </w:rPr>
              <w:t xml:space="preserve">R</w:t>
            </w:r>
            <w:r>
              <w:rPr>
                <w:rFonts w:ascii="Times New Roman" w:hAnsi="Times New Roman" w:cs="Times New Roman"/>
                <w:b w:val="0"/>
                <w:bCs w:val="0"/>
                <w:sz w:val="24"/>
                <w:szCs w:val="24"/>
                <w:lang w:eastAsia="ru-RU"/>
              </w:rPr>
              <w:t xml:space="preserve">., </w:t>
            </w:r>
            <w:r>
              <w:rPr>
                <w:rFonts w:ascii="Times New Roman" w:hAnsi="Times New Roman" w:cs="Times New Roman"/>
                <w:b w:val="0"/>
                <w:bCs w:val="0"/>
                <w:sz w:val="24"/>
                <w:szCs w:val="24"/>
                <w:lang w:val="en-US" w:eastAsia="ru-RU"/>
              </w:rPr>
              <w:t xml:space="preserve">Kurkin</w:t>
            </w:r>
            <w:r>
              <w:rPr>
                <w:rFonts w:ascii="Times New Roman" w:hAnsi="Times New Roman" w:cs="Times New Roman"/>
                <w:b w:val="0"/>
                <w:bCs w:val="0"/>
                <w:sz w:val="24"/>
                <w:szCs w:val="24"/>
                <w:lang w:eastAsia="ru-RU"/>
              </w:rPr>
              <w:t xml:space="preserve">, </w:t>
            </w:r>
            <w:r>
              <w:rPr>
                <w:rFonts w:ascii="Times New Roman" w:hAnsi="Times New Roman" w:cs="Times New Roman"/>
                <w:b w:val="0"/>
                <w:bCs w:val="0"/>
                <w:sz w:val="24"/>
                <w:szCs w:val="24"/>
                <w:lang w:val="en-US" w:eastAsia="ru-RU"/>
              </w:rPr>
              <w:t xml:space="preserve">D</w:t>
            </w:r>
            <w:r>
              <w:rPr>
                <w:rFonts w:ascii="Times New Roman" w:hAnsi="Times New Roman" w:cs="Times New Roman"/>
                <w:b w:val="0"/>
                <w:bCs w:val="0"/>
                <w:sz w:val="24"/>
                <w:szCs w:val="24"/>
                <w:lang w:eastAsia="ru-RU"/>
              </w:rPr>
              <w:t xml:space="preserve">. </w:t>
            </w:r>
            <w:r>
              <w:rPr>
                <w:rFonts w:ascii="Times New Roman" w:hAnsi="Times New Roman" w:cs="Times New Roman"/>
                <w:b w:val="0"/>
                <w:bCs w:val="0"/>
                <w:sz w:val="24"/>
                <w:szCs w:val="24"/>
                <w:lang w:val="en-US" w:eastAsia="ru-RU"/>
              </w:rPr>
              <w:t xml:space="preserve">V</w:t>
            </w:r>
            <w:r>
              <w:rPr>
                <w:rFonts w:ascii="Times New Roman" w:hAnsi="Times New Roman" w:cs="Times New Roman"/>
                <w:b w:val="0"/>
                <w:bCs w:val="0"/>
                <w:sz w:val="24"/>
                <w:szCs w:val="24"/>
                <w:lang w:eastAsia="ru-RU"/>
              </w:rPr>
              <w:t xml:space="preserve">.,</w:t>
            </w:r>
            <w:r>
              <w:rPr>
                <w:rFonts w:ascii="Times New Roman" w:hAnsi="Times New Roman" w:cs="Times New Roman"/>
                <w:b w:val="0"/>
                <w:bCs w:val="0"/>
                <w:sz w:val="24"/>
                <w:szCs w:val="24"/>
                <w:lang w:val="en-US" w:eastAsia="ru-RU"/>
              </w:rPr>
              <w:t xml:space="preserve">Bakulin</w:t>
            </w:r>
            <w:r>
              <w:rPr>
                <w:rFonts w:ascii="Times New Roman" w:hAnsi="Times New Roman" w:cs="Times New Roman"/>
                <w:b w:val="0"/>
                <w:bCs w:val="0"/>
                <w:sz w:val="24"/>
                <w:szCs w:val="24"/>
                <w:lang w:eastAsia="ru-RU"/>
              </w:rPr>
              <w:t xml:space="preserve">, </w:t>
            </w:r>
            <w:r>
              <w:rPr>
                <w:rFonts w:ascii="Times New Roman" w:hAnsi="Times New Roman" w:cs="Times New Roman"/>
                <w:b w:val="0"/>
                <w:bCs w:val="0"/>
                <w:sz w:val="24"/>
                <w:szCs w:val="24"/>
                <w:lang w:val="en-US" w:eastAsia="ru-RU"/>
              </w:rPr>
              <w:t xml:space="preserve">D</w:t>
            </w:r>
            <w:r>
              <w:rPr>
                <w:rFonts w:ascii="Times New Roman" w:hAnsi="Times New Roman" w:cs="Times New Roman"/>
                <w:b w:val="0"/>
                <w:bCs w:val="0"/>
                <w:sz w:val="24"/>
                <w:szCs w:val="24"/>
                <w:lang w:eastAsia="ru-RU"/>
              </w:rPr>
              <w:t xml:space="preserve">.</w:t>
            </w:r>
            <w:r>
              <w:rPr>
                <w:rFonts w:ascii="Times New Roman" w:hAnsi="Times New Roman" w:cs="Times New Roman"/>
                <w:b w:val="0"/>
                <w:bCs w:val="0"/>
                <w:sz w:val="24"/>
                <w:szCs w:val="24"/>
                <w:lang w:val="en-US" w:eastAsia="ru-RU"/>
              </w:rPr>
              <w:t xml:space="preserve">A</w:t>
            </w:r>
            <w:r>
              <w:rPr>
                <w:rFonts w:ascii="Times New Roman" w:hAnsi="Times New Roman" w:cs="Times New Roman"/>
                <w:b w:val="0"/>
                <w:bCs w:val="0"/>
                <w:sz w:val="24"/>
                <w:szCs w:val="24"/>
                <w:lang w:eastAsia="ru-RU"/>
              </w:rPr>
              <w:t xml:space="preserve">., </w:t>
            </w:r>
            <w:r>
              <w:rPr>
                <w:rFonts w:ascii="Times New Roman" w:hAnsi="Times New Roman" w:cs="Times New Roman"/>
                <w:b w:val="0"/>
                <w:bCs w:val="0"/>
                <w:sz w:val="24"/>
                <w:szCs w:val="24"/>
                <w:lang w:val="en-US" w:eastAsia="ru-RU"/>
              </w:rPr>
              <w:t xml:space="preserve">Volotova</w:t>
            </w:r>
            <w:r>
              <w:rPr>
                <w:rFonts w:ascii="Times New Roman" w:hAnsi="Times New Roman" w:cs="Times New Roman"/>
                <w:b w:val="0"/>
                <w:bCs w:val="0"/>
                <w:sz w:val="24"/>
                <w:szCs w:val="24"/>
                <w:lang w:eastAsia="ru-RU"/>
              </w:rPr>
              <w:t xml:space="preserve">, </w:t>
            </w:r>
            <w:r>
              <w:rPr>
                <w:rFonts w:ascii="Times New Roman" w:hAnsi="Times New Roman" w:cs="Times New Roman"/>
                <w:b w:val="0"/>
                <w:bCs w:val="0"/>
                <w:sz w:val="24"/>
                <w:szCs w:val="24"/>
                <w:lang w:val="en-US" w:eastAsia="ru-RU"/>
              </w:rPr>
              <w:t xml:space="preserve">E</w:t>
            </w:r>
            <w:r>
              <w:rPr>
                <w:rFonts w:ascii="Times New Roman" w:hAnsi="Times New Roman" w:cs="Times New Roman"/>
                <w:b w:val="0"/>
                <w:bCs w:val="0"/>
                <w:sz w:val="24"/>
                <w:szCs w:val="24"/>
                <w:lang w:eastAsia="ru-RU"/>
              </w:rPr>
              <w:t xml:space="preserve">.</w:t>
            </w:r>
            <w:r>
              <w:rPr>
                <w:rFonts w:ascii="Times New Roman" w:hAnsi="Times New Roman" w:cs="Times New Roman"/>
                <w:b w:val="0"/>
                <w:bCs w:val="0"/>
                <w:sz w:val="24"/>
                <w:szCs w:val="24"/>
                <w:lang w:val="en-US" w:eastAsia="ru-RU"/>
              </w:rPr>
              <w:t xml:space="preserve">V</w:t>
            </w:r>
            <w:r>
              <w:rPr>
                <w:rFonts w:ascii="Times New Roman" w:hAnsi="Times New Roman" w:cs="Times New Roman"/>
                <w:b w:val="0"/>
                <w:bCs w:val="0"/>
                <w:sz w:val="24"/>
                <w:szCs w:val="24"/>
                <w:lang w:eastAsia="ru-RU"/>
              </w:rPr>
              <w:t xml:space="preserve">.  </w:t>
            </w:r>
            <w:r>
              <w:rPr>
                <w:rFonts w:ascii="Times New Roman" w:hAnsi="Times New Roman" w:cs="Times New Roman"/>
                <w:b w:val="0"/>
                <w:bCs w:val="0"/>
                <w:sz w:val="24"/>
                <w:szCs w:val="24"/>
                <w:lang w:val="en-US" w:eastAsia="ru-RU"/>
              </w:rPr>
              <w:t xml:space="preserve">Functional and Morphological Changes in the Pyramidal Layer of the Hippocampus in Rats with Encephalopathy Induced by Prolonged Exposure to Gravitational Overloading / // Neuroscience and Behavioral Physiology, 2020, 50(4), </w:t>
            </w:r>
            <w:r>
              <w:rPr>
                <w:rFonts w:ascii="Times New Roman" w:hAnsi="Times New Roman" w:cs="Times New Roman"/>
                <w:b w:val="0"/>
                <w:bCs w:val="0"/>
                <w:sz w:val="24"/>
                <w:szCs w:val="24"/>
                <w:lang w:eastAsia="ru-RU"/>
              </w:rPr>
              <w:t xml:space="preserve">с</w:t>
            </w:r>
            <w:r>
              <w:rPr>
                <w:rFonts w:ascii="Times New Roman" w:hAnsi="Times New Roman" w:cs="Times New Roman"/>
                <w:b w:val="0"/>
                <w:bCs w:val="0"/>
                <w:sz w:val="24"/>
                <w:szCs w:val="24"/>
                <w:lang w:val="en-US" w:eastAsia="ru-RU"/>
              </w:rPr>
              <w:t xml:space="preserve">. 479-484.</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lang w:val="en-US"/>
              </w:rPr>
              <w:t xml:space="preserve">10. Kaplanov K.D., Volkov N.P., Klitochenko T.Yu., Matveeva I.V., Shipaeva A.L., Shirokova M.N., Davydova</w:t>
            </w:r>
            <w:r>
              <w:rPr>
                <w:rFonts w:ascii="Times New Roman" w:hAnsi="Times New Roman" w:cs="Times New Roman"/>
                <w:b w:val="0"/>
                <w:bCs w:val="0"/>
                <w:sz w:val="24"/>
                <w:szCs w:val="24"/>
                <w:lang w:val="en-US"/>
              </w:rPr>
              <w:t xml:space="preserve"> N.V., Gemdzhian E.G., Abramov D.S., Konovalov D.M., Snigur G.L., Red’kina N.A. Analysis Results of the Regional Registry of Patients with Diffuse Large B-cell Lymphoma: Risk Factors and Chemo-Immunotherapy Issues. Clinical oncohematology 2019;12(2):154–64</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11. Мязин Р.Г., Емельянов Д.Н. Снигур Г.Л., Чернышова М.В.. Фармакологическая коррекция экспериментального острого токсического гепатита. Журнал анатомии и гистопатологии Т.8, №1 2019 – с. 49-54</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12. Каплунов С.В., Иващенко И.В., Снигур Г.Л. Внеорганная забрюшинная зрелая тератома у ребенка 12 лет. Российский журнал детской гематологии и онкологии. 2019. Т. 6. № 2. С. 68-71.</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rPr>
              <w:t xml:space="preserve">13. Дорофеев Н.А., Снигур Г.Л., Сурин С.С. Сравнительная характеристика гистологических изменений при helicobacter pylori-ассоциированном гастрите. Волгоградский научно-медицинский журнал. 2019. № 4. С. 18-21.</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14. Тюренков И.Н., Смирнов А.В., Медников Д.С., Шмидт М.В., Экова М.Р., Куркин Д.В., Бакулин Д.А., </w:t>
            </w:r>
            <w:r>
              <w:rPr>
                <w:rFonts w:ascii="Times New Roman" w:hAnsi="Times New Roman" w:cs="Times New Roman"/>
                <w:b w:val="0"/>
                <w:bCs w:val="0"/>
                <w:sz w:val="24"/>
                <w:szCs w:val="24"/>
                <w:lang w:eastAsia="ru-RU"/>
              </w:rPr>
              <w:t xml:space="preserve">Волотова Е.В. Функциональные и морфологические изменения в пирамидном слое гиппокампа крыс при энцефалопатии, вызванной длительными воздействиями гравитационных перегрузок. Российский физиологический журнал им. И.М. Сеченова. 2019. Т. 105. № 3. С. 339-349.</w:t>
            </w:r>
            <w:r>
              <w:rPr>
                <w:sz w:val="24"/>
                <w:szCs w:val="24"/>
              </w:rPr>
            </w:r>
            <w:r>
              <w:rPr>
                <w:sz w:val="24"/>
                <w:szCs w:val="24"/>
              </w:rPr>
            </w:r>
          </w:p>
          <w:p>
            <w:pPr>
              <w:pStyle w:val="859"/>
              <w:ind w:right="0" w:firstLine="0"/>
              <w:jc w:val="both"/>
              <w:spacing w:before="0" w:after="0" w:line="240" w:lineRule="auto"/>
              <w:widowControl w:val="off"/>
              <w:rPr>
                <w:b w:val="0"/>
                <w:bCs w:val="0"/>
                <w:sz w:val="24"/>
                <w:szCs w:val="24"/>
              </w:rPr>
            </w:pPr>
            <w:r>
              <w:rPr>
                <w:b w:val="0"/>
                <w:bCs w:val="0"/>
                <w:sz w:val="24"/>
                <w:szCs w:val="24"/>
              </w:rPr>
            </w:r>
            <w:r>
              <w:rPr>
                <w:b w:val="0"/>
                <w:bCs w:val="0"/>
                <w:sz w:val="24"/>
                <w:szCs w:val="24"/>
              </w:rPr>
            </w:r>
            <w:r>
              <w:rPr>
                <w:b w:val="0"/>
                <w:bCs w:val="0"/>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IV.</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1. </w:t>
            </w:r>
            <w:r>
              <w:rPr>
                <w:rFonts w:ascii="Times New Roman" w:hAnsi="Times New Roman" w:cs="Times New Roman"/>
                <w:b w:val="0"/>
                <w:bCs w:val="0"/>
                <w:sz w:val="24"/>
                <w:szCs w:val="24"/>
                <w:lang w:eastAsia="ru-RU"/>
              </w:rPr>
              <w:t xml:space="preserve">Бугаева Л.И., Спасов А.А., Лебедева С.А., Коржова Т.М., Гетманенко А.Ю. ИЗУЧЕНИЕ Фармакологической безопасности стандартизированного очищенного рассола бишофита. Вестник Волгоградского государственного медицинского университета. 2023. Т. 20. № 4. С. 73-77.</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2. Коржов</w:t>
            </w:r>
            <w:r>
              <w:rPr>
                <w:rFonts w:ascii="Times New Roman" w:hAnsi="Times New Roman" w:cs="Times New Roman"/>
                <w:b w:val="0"/>
                <w:bCs w:val="0"/>
                <w:sz w:val="24"/>
                <w:szCs w:val="24"/>
                <w:lang w:eastAsia="ru-RU"/>
              </w:rPr>
              <w:t xml:space="preserve">а Т.М., Бугаева Л.И., Лебедева С.А., Гетманенко А.Ю., Спасов А.А. Физическое развитие и общее состояние потомств от крыс самок с алиментарной гипомагнезиемией. Вестник Волгоградского государственного медицинского университета. 2022. Т. 19. № 4. С. 118-122.</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3. Спасо</w:t>
            </w:r>
            <w:r>
              <w:rPr>
                <w:rFonts w:ascii="Times New Roman" w:hAnsi="Times New Roman" w:cs="Times New Roman"/>
                <w:b w:val="0"/>
                <w:bCs w:val="0"/>
                <w:sz w:val="24"/>
                <w:szCs w:val="24"/>
                <w:lang w:eastAsia="ru-RU"/>
              </w:rPr>
              <w:t xml:space="preserve">в А.А., Бугаева Л.И., Лебедева С.А., Харитонова М.В., Коржова Т.М., Гетманенко А.Ю., Минулина С.В. Влияние алиментарной гипомагнезиемии на показатели периферической крови крыс-самок. Экспериментальная и клиническая фармакология. 2021. Т. 84. № 7. С. 11-14.</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4. Коржова Т.М., Лебедева С.А., Спасов А.А., Бугаева Л.И., Гетманенко А.Ю. Влияние препарата "Магневитол" на процессы эмбрио- и фетогенеза у крыс с алиментарной гипомагнезиемиеЙ. Экспериментальная и клиническая фармакология. 2020. Т. 83. № 12. С. 40-42.</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5. Иежица И.Н., Агарвал Р., Лидавани Л., Наджва Нор Арфузир Н., Ахмад Джафри А.Д., Аг</w:t>
            </w:r>
            <w:r>
              <w:rPr>
                <w:rFonts w:ascii="Times New Roman" w:hAnsi="Times New Roman" w:cs="Times New Roman"/>
                <w:b w:val="0"/>
                <w:bCs w:val="0"/>
                <w:sz w:val="24"/>
                <w:szCs w:val="24"/>
                <w:lang w:eastAsia="ru-RU"/>
              </w:rPr>
              <w:t xml:space="preserve">арвал П., Красильникова А.В., Спасов А.А., Озеров А.А., Исмаил Н.М. Магния ацетилтауринат: перспективный кандидат в качестве средства для нейропротекции сетчатки глаза при глаукомЕ. Экспериментальная и клиническая фармакология. 2018. Т. 81. № S. С. 99-100.</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6. Спасов А.А., Косолапов В.А. Применение магния l-аспарагината и комбинаций солей mагния с витамином b6 в медицине. Российский медицинский журнал. 2017. Т. 23. № 2. С. 89-95.</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7. Спасов А.А., Бугаева Л.И., Коржова Т.М., Лебедева С</w:t>
            </w:r>
            <w:r>
              <w:rPr>
                <w:rFonts w:ascii="Times New Roman" w:hAnsi="Times New Roman" w:cs="Times New Roman"/>
                <w:b w:val="0"/>
                <w:bCs w:val="0"/>
                <w:sz w:val="24"/>
                <w:szCs w:val="24"/>
                <w:lang w:eastAsia="ru-RU"/>
              </w:rPr>
              <w:t xml:space="preserve">.А., Гетманенко А.Ю., Воронин С.П. Влияние комбинации магния l-аспарагината с витамином b6 на процессы органогенеза, регистрируемые в антенатальном и постнатальном периодах развитиЯ. Экспериментальная и клиническая фармакология. 2016. Т. 79. № 8. С. 18-22.</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8. Желтова А.А., Спасов </w:t>
            </w:r>
            <w:r>
              <w:rPr>
                <w:rFonts w:ascii="Times New Roman" w:hAnsi="Times New Roman" w:cs="Times New Roman"/>
                <w:b w:val="0"/>
                <w:bCs w:val="0"/>
                <w:sz w:val="24"/>
                <w:szCs w:val="24"/>
                <w:lang w:eastAsia="ru-RU"/>
              </w:rPr>
              <w:t xml:space="preserve">А.А., Харитонова М.В., Лебедева С.А., Скальный А.В., Лобанова Ю.Н., Скальная М.Г. Изменение содержания магния в органах и тканях крыс, находившихся на магнийдефицитной диете. Вопросы биологической, медицинской и фармацевтической химии. 2015. № 4. С. 26-30.</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9. Толокольников В.А., Смирнов А.В., Спасов А.А., Озеров А.А., Бугаёва Л.И., Лебедева С.А., Замара</w:t>
            </w:r>
            <w:r>
              <w:rPr>
                <w:rFonts w:ascii="Times New Roman" w:hAnsi="Times New Roman" w:cs="Times New Roman"/>
                <w:b w:val="0"/>
                <w:bCs w:val="0"/>
                <w:sz w:val="24"/>
                <w:szCs w:val="24"/>
                <w:lang w:eastAsia="ru-RU"/>
              </w:rPr>
              <w:t xml:space="preserve">ев В.С., Снигур Г.Л. Влияние таурината магния на динамику морфометрических показателей матки и яичников крыс при моделировании алиментарной недостаточности магния. Вестник Волгоградского государственного медицинского университета. 2014. № 4 (52). С. 74-77.</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10. Харитонова М.В., Желтова А.А., Спасов А.А., Смирнов А.В., Паньшин Н.Г., Иежица И.Н. Коррекция изопротеренолового повреждения миокарда у крыс разными формами магния в условиях его алиментарного дефицита. Вопросы питания. 2013. Т. 82. № 5. С. 29-35.</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2.2.</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Наличие авторских свидетельств, патентов, свидетельств на программные продукты, макетов, опытных образцов, участие в конкурсах, выставках (копии подтверждающих документов)</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918"/>
              <w:jc w:val="both"/>
              <w:widowControl w:val="off"/>
              <w:rPr>
                <w:sz w:val="24"/>
                <w:szCs w:val="24"/>
              </w:rPr>
            </w:pPr>
            <w:r>
              <w:rPr>
                <w:rFonts w:ascii="Times New Roman" w:hAnsi="Times New Roman" w:cs="Times New Roman"/>
                <w:b w:val="0"/>
                <w:bCs w:val="0"/>
                <w:sz w:val="24"/>
                <w:szCs w:val="24"/>
              </w:rPr>
              <w:t xml:space="preserve">I.</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Дь</w:t>
            </w:r>
            <w:r>
              <w:rPr>
                <w:rFonts w:ascii="Times New Roman" w:hAnsi="Times New Roman" w:cs="Times New Roman"/>
                <w:b w:val="0"/>
                <w:bCs w:val="0"/>
                <w:sz w:val="24"/>
                <w:szCs w:val="24"/>
              </w:rPr>
              <w:t xml:space="preserve">яченко Т.С., Девляшова О.Ф. Результаты экспертизы качества медицинской помощи детскому населению в амбулаторно-поликлинических учреждениях г. Волгограда / Свидетельство о регистрации базы данных RU 2020621572, 28.08.2020. Заявка № 2020621447 от 18.08.2020.</w:t>
            </w:r>
            <w:r>
              <w:rPr>
                <w:sz w:val="24"/>
                <w:szCs w:val="24"/>
              </w:rPr>
            </w:r>
            <w:r>
              <w:rPr>
                <w:sz w:val="24"/>
                <w:szCs w:val="24"/>
              </w:rPr>
            </w:r>
          </w:p>
          <w:p>
            <w:pPr>
              <w:pStyle w:val="918"/>
              <w:jc w:val="both"/>
              <w:widowControl w:val="off"/>
              <w:rPr>
                <w:b w:val="0"/>
                <w:bCs w:val="0"/>
                <w:sz w:val="24"/>
                <w:szCs w:val="24"/>
              </w:rPr>
            </w:pPr>
            <w:r>
              <w:rPr>
                <w:b w:val="0"/>
                <w:bCs w:val="0"/>
                <w:sz w:val="24"/>
                <w:szCs w:val="24"/>
              </w:rPr>
            </w:r>
            <w:r>
              <w:rPr>
                <w:b w:val="0"/>
                <w:bCs w:val="0"/>
                <w:sz w:val="24"/>
                <w:szCs w:val="24"/>
              </w:rPr>
            </w:r>
            <w:r>
              <w:rPr>
                <w:b w:val="0"/>
                <w:bCs w:val="0"/>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II.</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1. </w:t>
            </w:r>
            <w:r>
              <w:rPr>
                <w:rFonts w:ascii="Times New Roman" w:hAnsi="Times New Roman" w:cs="Times New Roman"/>
                <w:b w:val="0"/>
                <w:bCs w:val="0"/>
                <w:sz w:val="24"/>
                <w:szCs w:val="24"/>
              </w:rPr>
              <w:t xml:space="preserve">Свид. о гос. регистрации программы для ЭВМ № 2022615069 от 29 марта 2022 г. Российская Федерация. Личный кабинет врача-реабилитолога для тренажера нейрореабилитации пациентов на базе технологии виртуальной реальности / Ю.А. Орлова, Е.С. Тарапатина, В.А. Ли</w:t>
            </w:r>
            <w:r>
              <w:rPr>
                <w:rFonts w:ascii="Times New Roman" w:hAnsi="Times New Roman" w:cs="Times New Roman"/>
                <w:b w:val="0"/>
                <w:bCs w:val="0"/>
                <w:sz w:val="24"/>
                <w:szCs w:val="24"/>
              </w:rPr>
              <w:t xml:space="preserve">твиненко, И.А. Самоходкина, А.Р. Донская, А.В. Зубков, Н.Д. Сибирный, А.П. Кулевич, Д.Р. Черкашин, В.В. Носкин, А.К. Писарев, Г.М. Рыбчиц, А.С. Воробьев, А.И. Кузнецова, Е.М. Великанов, А.С. Ломакин, М.К. Зверьков, И.В. Макаревич; ФГБОУ ВО ВолгГТУ. - 2022.</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2. Свид. о гос. регистрации программы для ЭВМ № 2022680242 от 28 октября 2022 г. Российская Федерация. Серверное программное обеспечение для организации взаимодействия клиентов между шлемом виртуально реальности и системой тр</w:t>
            </w:r>
            <w:r>
              <w:rPr>
                <w:rFonts w:ascii="Times New Roman" w:hAnsi="Times New Roman" w:cs="Times New Roman"/>
                <w:b w:val="0"/>
                <w:bCs w:val="0"/>
                <w:sz w:val="24"/>
                <w:szCs w:val="24"/>
              </w:rPr>
              <w:t xml:space="preserve">екинга дыхания на основе технологии компьютерного зрения / Ю.А. Орлова, Аг.С. Кузнецова, А.В. Зубков, В.В. Гилка, А.Р. Донская, Д.С. Павлова, С.В. Степанов, Ю.С. Гомазкова, М.Р. Гумеров, А.К. Писарев, Д.В. Деменков, О.Д. Ролдугин; ФГБОУ ВО ВолгГТУ. - 2022.</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3. Свид. о гос. регистрации программы для ЭВМ № 2022669018 от 14 октября 2022 г. Российская Федерация. Система трекинга дыхания на основе технологии компьютерного зрения / Ю.А. Орлова, В.Л. Розалиев, Аг.С. Кузнецова, А.В. Зубков, А.Р. Донская</w:t>
            </w:r>
            <w:r>
              <w:rPr>
                <w:rFonts w:ascii="Times New Roman" w:hAnsi="Times New Roman" w:cs="Times New Roman"/>
                <w:b w:val="0"/>
                <w:bCs w:val="0"/>
                <w:sz w:val="24"/>
                <w:szCs w:val="24"/>
              </w:rPr>
              <w:t xml:space="preserve">, Н.Д. Сибирный, А.П. Кулевич, Е.С. Тарапатина, В.А. Литвиненко, И.А. Самоходкина, Д.Р. Черкашин, В.В. Носкин, А.К. Писарев, Г.М. Рыбчиц, А.С. Воробьев, А.И. Кузнецова, Е.М. Великанов, И.В. Макаревич, А.А. Коршунов, О.Д. Ролдугин; ФГБОУ ВО ВолгГТУ. - 2022.</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4. Свид. о гос. регистрации программы для ЭВМ № 2021615786 от 13 апреля 2021 г. Российская Фед</w:t>
            </w:r>
            <w:r>
              <w:rPr>
                <w:rFonts w:ascii="Times New Roman" w:hAnsi="Times New Roman" w:cs="Times New Roman"/>
                <w:b w:val="0"/>
                <w:bCs w:val="0"/>
                <w:sz w:val="24"/>
                <w:szCs w:val="24"/>
              </w:rPr>
              <w:t xml:space="preserve">ерация. B2Doc: EndoPro 2.0 – мобильное приложение / Ю.А. Орлова, А.В. Зубков, Н.Д. Сибирный, А.Р. Донская, А.П. Кулевич, Е.С. Тарапатина, В.А. Литвиненко, И.А. Самоходкина, В.В. Носкин, М.Ю. Фролов, О.А. Каплунов; правообладатель: ФГБОУ ВО ВолгГТУ. - 2021.</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5. Свид. о гос. регистрации программы для ЭВМ № 2021615837 от 13 апреля 20</w:t>
            </w:r>
            <w:r>
              <w:rPr>
                <w:rFonts w:ascii="Times New Roman" w:hAnsi="Times New Roman" w:cs="Times New Roman"/>
                <w:b w:val="0"/>
                <w:bCs w:val="0"/>
                <w:sz w:val="24"/>
                <w:szCs w:val="24"/>
              </w:rPr>
              <w:t xml:space="preserve">21 г. Российская Федерация. B2Doc: EndoPro 2.0 – приложение для врача / Ю.А. Орлова, А.В. Зубков, Н.Д. Сибирный, А.Р. Донская, А.П. Кулевич, Е.С. Тарапатина, Д.Р. Черкашин, В.В. Носкин, М.Ю. Фролов, О.А. Каплунов; правообладатель: ФГБОУ ВО ВолгГТУ. - 2021.</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6. Свид. о гос. регистрации программы для ЭВМ № 2021611457 от 28.01.2021 Р</w:t>
            </w:r>
            <w:r>
              <w:rPr>
                <w:rFonts w:ascii="Times New Roman" w:hAnsi="Times New Roman" w:cs="Times New Roman"/>
                <w:b w:val="0"/>
                <w:bCs w:val="0"/>
                <w:sz w:val="24"/>
                <w:szCs w:val="24"/>
              </w:rPr>
              <w:t xml:space="preserve">оссийская Федерация. B2Doc: Стенокардия - Windows-приложение для врача / Ю.А. Орлова, А.В. Зубков, Н.Д. Сибирный, Я.Е. Каменнов, А.Р. Донская, В.В. Гилка, А.П. Кулевич, М.Ю. Фролов, Ю.М. Лопатин, А.И. Каборгина; правообладатель: ФГБОУ ВО "ВолгГТУ". - 2021.</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7. Свид. о гос. регистрации программы для ЭВМ № 2021611490 от 28.01.2021</w:t>
            </w:r>
            <w:r>
              <w:rPr>
                <w:rFonts w:ascii="Times New Roman" w:hAnsi="Times New Roman" w:cs="Times New Roman"/>
                <w:b w:val="0"/>
                <w:bCs w:val="0"/>
                <w:sz w:val="24"/>
                <w:szCs w:val="24"/>
              </w:rPr>
              <w:t xml:space="preserve"> Российская Федерация. B2Doc: Стенокардия - сервер / Ю.А. Орлова, А.В. Зубков, Н.Д. Сибирный, Я.Е. Каменнов, А.Р. Донская, Аг.С. Кузнецова, А.П. Кулевич, Е.А. Шурлаева, М.Ю. Фролов, Ю.М. Лопатин, А.И. Каборгина; правообладатель: ФГБОУ ВО "ВолгГТУ". - 2021.</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8. Свид. о гос. регистрации прогр</w:t>
            </w:r>
            <w:r>
              <w:rPr>
                <w:rFonts w:ascii="Times New Roman" w:hAnsi="Times New Roman" w:cs="Times New Roman"/>
                <w:b w:val="0"/>
                <w:bCs w:val="0"/>
                <w:sz w:val="24"/>
                <w:szCs w:val="24"/>
              </w:rPr>
              <w:t xml:space="preserve">аммы для ЭВМ № 2021667237 от 27.10.2021 Российская Федерация. Панель управления лицензиями продуктов с возможностью просмотра статистики / Ю.А. Орлова, А.В. Зубков, Е.С. Тарапатина, В.А. Литвиненко, И.А. Самоходкина, А.Р. Донская; ФГБОУ ВО ВолгГТУ. - 2021.</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9. Свид. о гос. регистрации программы для ЭВМ № 20</w:t>
            </w:r>
            <w:r>
              <w:rPr>
                <w:rFonts w:ascii="Times New Roman" w:hAnsi="Times New Roman" w:cs="Times New Roman"/>
                <w:b w:val="0"/>
                <w:bCs w:val="0"/>
                <w:sz w:val="24"/>
                <w:szCs w:val="24"/>
              </w:rPr>
              <w:t xml:space="preserve">21617427 от 14 мая 2021 г. Российская Федерация. Программное обеспечение для автоматизации процесса набора датасета ЭЭГ с размеченным классом эмоций / Ю.А. Орлова, В.В. Гилка, А.В. Зубков, Е.А. Шурлаева, Г.М. Рыбчиц, А.П. Кулевич; ФГБОУ ВО ВолгГТУ. - 2021.</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10. Свид. о гос. регистрации программы для ЭВМ № 202161</w:t>
            </w:r>
            <w:r>
              <w:rPr>
                <w:rFonts w:ascii="Times New Roman" w:hAnsi="Times New Roman" w:cs="Times New Roman"/>
                <w:b w:val="0"/>
                <w:bCs w:val="0"/>
                <w:sz w:val="24"/>
                <w:szCs w:val="24"/>
              </w:rPr>
              <w:t xml:space="preserve">8188 от 24 мая 2021 г. Российская Федерация. Программное обеспечение для автоматизации процесса набора датасета дактильной речи русского языка / Ю.А. Орлова, Аг.С. Кузнецова, А.В. Зубков, Н.Д. Сибирный, А.Р. Донская, А.П. Кулевич; ФГБОУ ВО ВолгГТУ. - 2021.</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11. Свид. о гос. регистрации программы дл</w:t>
            </w:r>
            <w:r>
              <w:rPr>
                <w:rFonts w:ascii="Times New Roman" w:hAnsi="Times New Roman" w:cs="Times New Roman"/>
                <w:b w:val="0"/>
                <w:bCs w:val="0"/>
                <w:sz w:val="24"/>
                <w:szCs w:val="24"/>
              </w:rPr>
              <w:t xml:space="preserve">я ЭВМ № 2021617456 от 14 мая 2021 г. Российская Федерация. Сервер выдачи управления лицензиями продуктов и сбора статистики / Ю.А. Орлова, В.Л. Розалиев, А.В. Зубков, Н.Д. Сибирный, Е.С. Тарапатина, В.А. Литвиненко, Д.Р. Черкашин; ФГБОУ ВО ВолгГТУ. - 2021.</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12. Свид. о гос. регистрации программы для ЭВ</w:t>
            </w:r>
            <w:r>
              <w:rPr>
                <w:rFonts w:ascii="Times New Roman" w:hAnsi="Times New Roman" w:cs="Times New Roman"/>
                <w:b w:val="0"/>
                <w:bCs w:val="0"/>
                <w:sz w:val="24"/>
                <w:szCs w:val="24"/>
              </w:rPr>
              <w:t xml:space="preserve">М № 2020616169 от 11 июня 2020 г. Российская Федерация. B2Doc : Стенокардия / Ю.А. Орлова, А.В. Зубков, В.В. Носкин, Н.Д. Сибирный, А.И. Кабаргина, Ю.М. Лопатин, М.Ю. Фролов; ФГБОУ ВО «Волгоградский гос. медицинский ун-т» Мин-ва здравоохранения РФ. - 2020.</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13. Свид. о гос. регистрации программы для ЭВМ № 2020666584 </w:t>
            </w:r>
            <w:r>
              <w:rPr>
                <w:rFonts w:ascii="Times New Roman" w:hAnsi="Times New Roman" w:cs="Times New Roman"/>
                <w:b w:val="0"/>
                <w:bCs w:val="0"/>
                <w:sz w:val="24"/>
                <w:szCs w:val="24"/>
              </w:rPr>
              <w:t xml:space="preserve">от 11 декабря 2020 г. Российская Федерация. Приложение анализа техники рывка атлетов, используя данные системы захвата движений / Ю.А. Орлова, А.В. Зубков, Н.Д. Сибирный, Я.Е. Каменнов, А.Р. Донская, А.П. Кулевич, Аг.С. Кузнецова; ФГБОУ ВО ВолгГТУ. - 2020.</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14. Свид. о гос. регистрации программы для ЭВМ № 2020663315 от 26 октября 2020 г. Российск</w:t>
            </w:r>
            <w:r>
              <w:rPr>
                <w:rFonts w:ascii="Times New Roman" w:hAnsi="Times New Roman" w:cs="Times New Roman"/>
                <w:b w:val="0"/>
                <w:bCs w:val="0"/>
                <w:sz w:val="24"/>
                <w:szCs w:val="24"/>
              </w:rPr>
              <w:t xml:space="preserve">ая Федерация. Программа для распознавания и визуализации проблемных участков посевов сельскохозяйственных культур по данным спутникового мониторинга и дистанционного зондирования / К.Е. Токарев, А.В. Зубков, Г.М. Рыбчиц; ФГБОУ ВО Волгоградский ГАУ. - 2020.</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15. Свид. о гос. регистрации программы для ЭВМ № 2020662115 от 8 октября 2020 г. Российская Федерация. Программный модуль для си</w:t>
            </w:r>
            <w:r>
              <w:rPr>
                <w:rFonts w:ascii="Times New Roman" w:hAnsi="Times New Roman" w:cs="Times New Roman"/>
                <w:b w:val="0"/>
                <w:bCs w:val="0"/>
                <w:sz w:val="24"/>
                <w:szCs w:val="24"/>
              </w:rPr>
              <w:t xml:space="preserve">стематизации подхода к изучению и освоению методик скорочтения / Ю.А. Орлова, А.В. Зубков, Н.Д. Сибирный, Я.Е. Каменнов, Е.А. Шурлаева, Е.С. Тарапатина, В.А. Литвиненко, И.А. Самоходкина, Д.Р. Черкашин, А.П. Кулевич, А.Р. Донская; ФГБОУ ВО ВолгГТУ. - 2020.</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16. Свид. о гос. регис</w:t>
            </w:r>
            <w:r>
              <w:rPr>
                <w:rFonts w:ascii="Times New Roman" w:hAnsi="Times New Roman" w:cs="Times New Roman"/>
                <w:b w:val="0"/>
                <w:bCs w:val="0"/>
                <w:sz w:val="24"/>
                <w:szCs w:val="24"/>
              </w:rPr>
              <w:t xml:space="preserve">трации программы для ЭВМ № 2019618560 от 2 июля 2019 г. Российская Федерация. B2Doc – Чат-бот / Ю.А. Орлова, О.А. Каплунов, Е.Ю. Некрасов, М.Ю. Фролов, А.В. Игнатьев, В.Л. Розалиев, А.В. Зубков, Н.Д. Сибирный, Д.М. Дудкин, Е.Ю. Тараканова; ВолгГТУ. - 2019.</w:t>
            </w:r>
            <w:r>
              <w:rPr>
                <w:sz w:val="24"/>
                <w:szCs w:val="24"/>
              </w:rPr>
            </w:r>
            <w:r>
              <w:rPr>
                <w:sz w:val="24"/>
                <w:szCs w:val="24"/>
              </w:rPr>
            </w:r>
          </w:p>
          <w:p>
            <w:pPr>
              <w:pStyle w:val="918"/>
              <w:jc w:val="both"/>
              <w:widowControl w:val="off"/>
              <w:rPr>
                <w:b w:val="0"/>
                <w:bCs w:val="0"/>
                <w:sz w:val="24"/>
                <w:szCs w:val="24"/>
              </w:rPr>
            </w:pPr>
            <w:r>
              <w:rPr>
                <w:b w:val="0"/>
                <w:bCs w:val="0"/>
                <w:sz w:val="24"/>
                <w:szCs w:val="24"/>
              </w:rPr>
            </w:r>
            <w:r>
              <w:rPr>
                <w:b w:val="0"/>
                <w:bCs w:val="0"/>
                <w:sz w:val="24"/>
                <w:szCs w:val="24"/>
              </w:rPr>
            </w:r>
            <w:r>
              <w:rPr>
                <w:b w:val="0"/>
                <w:bCs w:val="0"/>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III.</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Снигур Г.Л., Сурин С.С. Патент на полезную модель «Камера для гистологических исследований во влажной среде» RU 218151 U1, 12.05.2023. Заявка № 2022118610 от 07.07.2022.</w:t>
            </w:r>
            <w:r>
              <w:rPr>
                <w:sz w:val="24"/>
                <w:szCs w:val="24"/>
              </w:rPr>
            </w:r>
            <w:r>
              <w:rPr>
                <w:sz w:val="24"/>
                <w:szCs w:val="24"/>
              </w:rPr>
            </w:r>
          </w:p>
          <w:p>
            <w:pPr>
              <w:pStyle w:val="918"/>
              <w:jc w:val="both"/>
              <w:widowControl w:val="off"/>
              <w:rPr>
                <w:b w:val="0"/>
                <w:bCs w:val="0"/>
                <w:sz w:val="24"/>
                <w:szCs w:val="24"/>
              </w:rPr>
            </w:pPr>
            <w:r>
              <w:rPr>
                <w:b w:val="0"/>
                <w:bCs w:val="0"/>
                <w:sz w:val="24"/>
                <w:szCs w:val="24"/>
              </w:rPr>
            </w:r>
            <w:r>
              <w:rPr>
                <w:b w:val="0"/>
                <w:bCs w:val="0"/>
                <w:sz w:val="24"/>
                <w:szCs w:val="24"/>
              </w:rPr>
            </w:r>
            <w:r>
              <w:rPr>
                <w:b w:val="0"/>
                <w:bCs w:val="0"/>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IV.</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1. Петров Владимир Иванович, Спасов Александр Алексеевич, Озеров Александр Александрович, Сысуев Борис Борисович. Патент РФ № 2007 140 096 Способ очистки бишофита.</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2. Воронин Сергей Петр</w:t>
            </w:r>
            <w:r>
              <w:rPr>
                <w:rFonts w:ascii="Times New Roman" w:hAnsi="Times New Roman" w:cs="Times New Roman"/>
                <w:b w:val="0"/>
                <w:bCs w:val="0"/>
                <w:sz w:val="24"/>
                <w:szCs w:val="24"/>
              </w:rPr>
              <w:t xml:space="preserve">ович, Иежица Игорь Николаевич, Петров Владимир Иванович, Спасов Александр Алексеевич, Синолицкий Максим Константинович, Синолицкая Стэлла Владимировна. Патент РФ № 2006 122 160 Пероральное лекарственное средство для восполнения дефицита магния в организме.</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3. Петров Владимир Иванович, Спасов Александр Алексеевич , Озеров Александр Александрович, Петров Владимир Валентинович, Петрухин Валерий Дмитриевич, Калашников Игорь Валентинович. Патент РФ № 2001 110 293 Способ очистки бишофита.</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4. Петров Владимир Иванович, Спасов Александр Алексеевич, Озеров Александр Александрович, Сысуев Борис Борисович. Патент РФ № 2003 132 017 Способ очистки бишофита.</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5. Дегтяров Валери</w:t>
            </w:r>
            <w:r>
              <w:rPr>
                <w:rFonts w:ascii="Times New Roman" w:hAnsi="Times New Roman" w:cs="Times New Roman"/>
                <w:b w:val="0"/>
                <w:bCs w:val="0"/>
                <w:sz w:val="24"/>
                <w:szCs w:val="24"/>
              </w:rPr>
              <w:t xml:space="preserve">й Васильевич, Петров Владимир Иванович, Спасов Александр Алексеевич, Озеров Александр Александрович, Петров Владимир Валентинович, Петрухин Валерий Дмитриевич, Калашников Игорь Валентинович. Патент РФ № 2001 110 292 Способ очистки растворов хлорида магния.</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6. Петров Владимир Иванович, Спасов Александр Алексеевич, Озеров Александр Александрович, Сысуев Борис Борисович. Патент РФ № 2 505 302 Лекарственное средство "ПОЛИКАТАН".</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7. Петров Владимир Иван</w:t>
            </w:r>
            <w:r>
              <w:rPr>
                <w:rFonts w:ascii="Times New Roman" w:hAnsi="Times New Roman" w:cs="Times New Roman"/>
                <w:b w:val="0"/>
                <w:bCs w:val="0"/>
                <w:sz w:val="24"/>
                <w:szCs w:val="24"/>
              </w:rPr>
              <w:t xml:space="preserve">ович, Спасов Александр Алексеевич, Озеров Александр Александрович, Сысуев Борис Борисович, Митрофанова Ирина Юрьевна. Патент РФ № 2 469 705 Жидкая лекарственная форма на основе бишофита для лечения гнойно-воспалительных процессов слизистых оболочек и кожи.</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8. Петров Владимир Иванович, Спасов Александр Алексеевич, Озеров Александр Александрович, Сысуев Борис Борисович, Митрофанова Ирина Юрьевна. Патент РФ № 2 455 008 Пролонгированная жидкая лекарственная форма на основе бишофита.</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9. Петров Владимир Иванович, Спасов Александр Алексеевич, Озеров Александр Александрович, Сысуев Борис Борисович. Патент РФ № 2 442 593 Способ очистки бишофита.</w:t>
            </w:r>
            <w:r>
              <w:rPr>
                <w:sz w:val="24"/>
                <w:szCs w:val="24"/>
              </w:rPr>
            </w:r>
            <w:r>
              <w:rPr>
                <w:sz w:val="24"/>
                <w:szCs w:val="24"/>
              </w:rPr>
            </w:r>
          </w:p>
          <w:p>
            <w:pPr>
              <w:pStyle w:val="918"/>
              <w:jc w:val="both"/>
              <w:widowControl w:val="off"/>
              <w:rPr>
                <w:sz w:val="24"/>
                <w:szCs w:val="24"/>
              </w:rPr>
            </w:pPr>
            <w:r>
              <w:rPr>
                <w:rFonts w:ascii="Times New Roman" w:hAnsi="Times New Roman" w:cs="Times New Roman"/>
                <w:b w:val="0"/>
                <w:bCs w:val="0"/>
                <w:sz w:val="24"/>
                <w:szCs w:val="24"/>
              </w:rPr>
              <w:t xml:space="preserve">10. Воронин Сергей П</w:t>
            </w:r>
            <w:r>
              <w:rPr>
                <w:rFonts w:ascii="Times New Roman" w:hAnsi="Times New Roman" w:cs="Times New Roman"/>
                <w:b w:val="0"/>
                <w:bCs w:val="0"/>
                <w:sz w:val="24"/>
                <w:szCs w:val="24"/>
              </w:rPr>
              <w:t xml:space="preserve">етрович, Иёжица Игорь Николаевич, Петров Владимир Иванович, Спасов Александр Алексеевич, Синолицкий Максим Константинович, Синолицкая Стэлла Владимировна. Патент РФ № 2 336 076 Пероральное лекарственное средство для восполнения дефицита магния в организме.</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2.3.</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Полученные в течение последних пяти лет гранты отечественных и международных фондов и (или) организаций (копии подтверждающих документов, степень участия - руководитель, исполнитель)</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I.</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w:t>
            </w:r>
            <w:r>
              <w:rPr>
                <w:sz w:val="24"/>
                <w:szCs w:val="24"/>
              </w:rPr>
            </w:r>
            <w:r>
              <w:rPr>
                <w:sz w:val="24"/>
                <w:szCs w:val="24"/>
              </w:rPr>
            </w:r>
          </w:p>
          <w:p>
            <w:pPr>
              <w:pStyle w:val="859"/>
              <w:ind w:right="0" w:firstLine="0"/>
              <w:jc w:val="both"/>
              <w:spacing w:before="0" w:after="0" w:line="240" w:lineRule="auto"/>
              <w:shd w:val="clear" w:color="auto" w:fill="ffffff"/>
              <w:widowControl w:val="off"/>
              <w:rPr>
                <w:b w:val="0"/>
                <w:bCs w:val="0"/>
                <w:sz w:val="24"/>
                <w:szCs w:val="24"/>
              </w:rPr>
            </w:pPr>
            <w:r>
              <w:rPr>
                <w:b w:val="0"/>
                <w:bCs w:val="0"/>
                <w:sz w:val="24"/>
                <w:szCs w:val="24"/>
              </w:rPr>
            </w:r>
            <w:r>
              <w:rPr>
                <w:b w:val="0"/>
                <w:bCs w:val="0"/>
                <w:sz w:val="24"/>
                <w:szCs w:val="24"/>
              </w:rPr>
            </w:r>
            <w:r>
              <w:rPr>
                <w:b w:val="0"/>
                <w:bCs w:val="0"/>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II.</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1. Грант РНФ № 60/386-18 «Разработка научно-методических подходов к оценке эффективности национальных систем поддержки фундаментальных исследований»;</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2. Грант РФФИ 20-07-00502 «Разработка технологии и средств интерактивной превентивно персонифицированной поддержки пациента»;</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3. Грант РФФИ 19-47-343001 «Разработка методов и средств адаптации интерфейса электронных ресурсов";</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4. Грант РФФИ 19-47-340009 «Разработка методов и средств оптимизации процесса познания с помощью нейроинтерфейса и видеокурсов»;</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5. Грант РФФИ 19-47-340003 «Разработка методики определения эмоционального состояния человека по речи и движениям тела, рук, глаз, мимики лица человека»;</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6. Грант РФФИ 19-07-00020 «Разработка моделей и методов бесконтактного управления устройствами с помощью технологий распознавания речи, жестов, мимики лица и глаз человека».</w:t>
            </w:r>
            <w:r>
              <w:rPr>
                <w:sz w:val="24"/>
                <w:szCs w:val="24"/>
              </w:rPr>
            </w:r>
            <w:r>
              <w:rPr>
                <w:sz w:val="24"/>
                <w:szCs w:val="24"/>
              </w:rPr>
            </w:r>
          </w:p>
          <w:p>
            <w:pPr>
              <w:pStyle w:val="859"/>
              <w:ind w:right="0" w:firstLine="0"/>
              <w:jc w:val="both"/>
              <w:spacing w:before="0" w:after="0" w:line="240" w:lineRule="auto"/>
              <w:shd w:val="clear" w:color="auto" w:fill="ffffff"/>
              <w:widowControl w:val="off"/>
              <w:rPr>
                <w:b w:val="0"/>
                <w:bCs w:val="0"/>
                <w:sz w:val="24"/>
                <w:szCs w:val="24"/>
              </w:rPr>
            </w:pPr>
            <w:r>
              <w:rPr>
                <w:b w:val="0"/>
                <w:bCs w:val="0"/>
                <w:sz w:val="24"/>
                <w:szCs w:val="24"/>
              </w:rPr>
            </w:r>
            <w:r>
              <w:rPr>
                <w:b w:val="0"/>
                <w:bCs w:val="0"/>
                <w:sz w:val="24"/>
                <w:szCs w:val="24"/>
              </w:rPr>
            </w:r>
            <w:r>
              <w:rPr>
                <w:b w:val="0"/>
                <w:bCs w:val="0"/>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III.</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1. Грант РНФ №21-15-00192 от 19.04.2021 – 18.04.2023. «Панкрео-, эндотелио- и нейропротективные свойства производных ГАМК». Ответственный исполнитель - Снигур Г.Л.</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2. Грант Фонда президентских грантов на развитие гражданского общества № 22-3-003591 от «19» октября 2022 г. «Крылья надежды – детям и героям Донбасса» (2022-2023 гг.). Администратор - Снигур Г.Л.</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3. Грант Фонда президентских грантов на развитие гражданского общества №24-1-000015 от «22» января 2024 г. с «Крылья надежды – героям СВО» (2024-2025 гг.). Администратор - Снигур Г.Л.</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4. Грант РФФИ. № 19-415-340004 «Иммунофенотипическая характеристика различных изоформ NO-синтаз в зубчатой извилине при фармакологической коррекции депрессивного состояния» (2019 - 2021 гг.). Исполнитель - Экова М.Р.</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5. </w:t>
            </w:r>
            <w:r>
              <w:rPr>
                <w:rFonts w:ascii="Times New Roman" w:hAnsi="Times New Roman" w:cs="Times New Roman"/>
                <w:b w:val="0"/>
                <w:bCs w:val="0"/>
                <w:sz w:val="24"/>
                <w:szCs w:val="24"/>
              </w:rPr>
              <w:t xml:space="preserve">Морфофункциональная характеристика NMDAR-опосредованной нейротрансмиссии и синаптической пластичности в зубчатой извилине при моделировании депрессии. - ФГБОУ ВО ВолгГМУ Минздрава России: Конкурс грантов ВолгГМУ. - 2020 г. Руководитель - Экова М.Р.</w:t>
            </w:r>
            <w:r>
              <w:rPr>
                <w:sz w:val="24"/>
                <w:szCs w:val="24"/>
              </w:rPr>
            </w:r>
            <w:r>
              <w:rPr>
                <w:sz w:val="24"/>
                <w:szCs w:val="24"/>
              </w:rPr>
            </w:r>
          </w:p>
          <w:p>
            <w:pPr>
              <w:pStyle w:val="859"/>
              <w:ind w:right="0" w:firstLine="0"/>
              <w:jc w:val="both"/>
              <w:spacing w:before="0" w:after="0" w:line="240" w:lineRule="auto"/>
              <w:shd w:val="clear" w:color="auto" w:fill="ffffff"/>
              <w:widowControl w:val="off"/>
              <w:rPr>
                <w:b w:val="0"/>
                <w:bCs w:val="0"/>
                <w:sz w:val="24"/>
                <w:szCs w:val="24"/>
              </w:rPr>
            </w:pPr>
            <w:r>
              <w:rPr>
                <w:b w:val="0"/>
                <w:bCs w:val="0"/>
                <w:sz w:val="24"/>
                <w:szCs w:val="24"/>
              </w:rPr>
            </w:r>
            <w:r>
              <w:rPr>
                <w:b w:val="0"/>
                <w:bCs w:val="0"/>
                <w:sz w:val="24"/>
                <w:szCs w:val="24"/>
              </w:rPr>
            </w:r>
            <w:r>
              <w:rPr>
                <w:b w:val="0"/>
                <w:bCs w:val="0"/>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sz w:val="24"/>
                <w:szCs w:val="24"/>
              </w:rPr>
              <w:t xml:space="preserve">IV.</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sz w:val="24"/>
                <w:szCs w:val="24"/>
              </w:rPr>
              <w:t xml:space="preserve">Медицинская химия в создании лекарственных средств нового поколения для лечения социально значимых заболеваний (РНФ).</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sz w:val="24"/>
                <w:szCs w:val="24"/>
              </w:rPr>
              <w:t xml:space="preserve">Поиск агентов, разруш</w:t>
            </w:r>
            <w:r>
              <w:rPr>
                <w:rFonts w:ascii="Times New Roman" w:hAnsi="Times New Roman" w:cs="Times New Roman"/>
                <w:b w:val="0"/>
                <w:bCs/>
                <w:sz w:val="24"/>
                <w:szCs w:val="24"/>
              </w:rPr>
              <w:t xml:space="preserve">ающих поперечные связи гликозилированных белков, антигликирующих и дегликативных агентов, потенциально снижающих матрикс-ассоциированные эффекты, блокаторов в качестве агентов, снижающих внеклеточную ригидность и патологические эффекты (Лига долгожителей).</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sz w:val="24"/>
                <w:szCs w:val="24"/>
              </w:rPr>
              <w:t xml:space="preserve">Синтез и изучение эффективности биоизостеров мелатонина (РНФ).</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2.4.</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Участие в течение последних пяти лет в научных исследованиях и (или) опытно-конструкторских работах в рамках отечественных и (или) международных научных и (или) научно-технических программ различного уровня (указать тип и названия программ)</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918"/>
              <w:ind w:right="0" w:firstLine="0"/>
              <w:jc w:val="both"/>
              <w:widowControl w:val="off"/>
              <w:rPr>
                <w:sz w:val="24"/>
                <w:szCs w:val="24"/>
              </w:rPr>
            </w:pPr>
            <w:r>
              <w:rPr>
                <w:rFonts w:ascii="Times New Roman" w:hAnsi="Times New Roman" w:cs="Times New Roman"/>
                <w:b w:val="0"/>
                <w:bCs w:val="0"/>
                <w:sz w:val="24"/>
                <w:szCs w:val="24"/>
              </w:rPr>
              <w:t xml:space="preserve">I.</w:t>
            </w:r>
            <w:r>
              <w:rPr>
                <w:sz w:val="24"/>
                <w:szCs w:val="24"/>
              </w:rPr>
            </w:r>
            <w:r>
              <w:rPr>
                <w:sz w:val="24"/>
                <w:szCs w:val="24"/>
              </w:rPr>
            </w:r>
          </w:p>
          <w:p>
            <w:pPr>
              <w:pStyle w:val="918"/>
              <w:ind w:right="0" w:firstLine="0"/>
              <w:jc w:val="both"/>
              <w:widowControl w:val="off"/>
              <w:rPr>
                <w:sz w:val="24"/>
                <w:szCs w:val="24"/>
              </w:rPr>
            </w:pPr>
            <w:r>
              <w:rPr>
                <w:rFonts w:ascii="Times New Roman" w:hAnsi="Times New Roman" w:cs="Times New Roman"/>
                <w:b w:val="0"/>
                <w:bCs w:val="0"/>
                <w:sz w:val="24"/>
                <w:szCs w:val="24"/>
              </w:rPr>
              <w:t xml:space="preserve">Научное обоснование совершенствования организации медицинской помощи при боле</w:t>
            </w:r>
            <w:r>
              <w:rPr>
                <w:rFonts w:ascii="Times New Roman" w:hAnsi="Times New Roman" w:cs="Times New Roman"/>
                <w:b w:val="0"/>
                <w:bCs w:val="0"/>
                <w:sz w:val="24"/>
                <w:szCs w:val="24"/>
              </w:rPr>
              <w:t xml:space="preserve">знях системы кровообращения (№ госрегистрации в системе ЕГИСУ 123112700069-8). Разработка современных подходов к управлению качеством медицинской помощи взрослому и детскому населению на региональном уровне (№ госрегистрации в системе ЕГИСУ 121082400111-5)</w:t>
            </w:r>
            <w:r>
              <w:rPr>
                <w:sz w:val="24"/>
                <w:szCs w:val="24"/>
              </w:rPr>
            </w:r>
            <w:r>
              <w:rPr>
                <w:sz w:val="24"/>
                <w:szCs w:val="24"/>
              </w:rPr>
            </w:r>
          </w:p>
          <w:p>
            <w:pPr>
              <w:pStyle w:val="918"/>
              <w:ind w:right="0" w:firstLine="0"/>
              <w:jc w:val="both"/>
              <w:widowControl w:val="off"/>
              <w:rPr>
                <w:b w:val="0"/>
                <w:bCs w:val="0"/>
                <w:sz w:val="24"/>
                <w:szCs w:val="24"/>
              </w:rPr>
            </w:pPr>
            <w:r>
              <w:rPr>
                <w:b w:val="0"/>
                <w:bCs w:val="0"/>
                <w:sz w:val="24"/>
                <w:szCs w:val="24"/>
              </w:rPr>
            </w:r>
            <w:r>
              <w:rPr>
                <w:b w:val="0"/>
                <w:bCs w:val="0"/>
                <w:sz w:val="24"/>
                <w:szCs w:val="24"/>
              </w:rPr>
            </w:r>
            <w:r>
              <w:rPr>
                <w:b w:val="0"/>
                <w:bCs w:val="0"/>
                <w:sz w:val="24"/>
                <w:szCs w:val="24"/>
              </w:rPr>
            </w:r>
          </w:p>
          <w:p>
            <w:pPr>
              <w:pStyle w:val="918"/>
              <w:ind w:right="0" w:firstLine="0"/>
              <w:jc w:val="both"/>
              <w:widowControl w:val="off"/>
              <w:rPr>
                <w:sz w:val="24"/>
                <w:szCs w:val="24"/>
              </w:rPr>
            </w:pPr>
            <w:r>
              <w:rPr>
                <w:rFonts w:ascii="Times New Roman" w:hAnsi="Times New Roman" w:cs="Times New Roman"/>
                <w:b w:val="0"/>
                <w:bCs w:val="0"/>
                <w:sz w:val="24"/>
                <w:szCs w:val="24"/>
              </w:rPr>
              <w:t xml:space="preserve">II.</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1. Грант РНФ № 60/386-18 «Разработка научно-методических подходов к оценке эффективности национальных систем поддержки фундаментальных исследований»;</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2. Грант РФФИ 20-07-00502 «Разработка технологии и средств интерактивной превентивно персонифицированной поддержки пациента»;</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3. Грант РФФИ 19-47-343001 «Разработка методов и средств адаптации интерфейса электронных ресурсов";</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4. Грант РФФИ 19-47-340009 «Разработка методов и средств оптимизации процесса познания с помощью нейроинтерфейса и видеокурсов»;</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5. Грант РФФИ 19-47-340003 «Разработка методики определения эмоционального состояния человека по речи и движениям тела, рук, глаз, мимики лица человека»;</w:t>
            </w:r>
            <w:r>
              <w:rPr>
                <w:sz w:val="24"/>
                <w:szCs w:val="24"/>
              </w:rPr>
            </w:r>
            <w:r>
              <w:rPr>
                <w:sz w:val="24"/>
                <w:szCs w:val="24"/>
              </w:rPr>
            </w:r>
          </w:p>
          <w:p>
            <w:pPr>
              <w:pStyle w:val="859"/>
              <w:ind w:right="0" w:firstLine="0"/>
              <w:jc w:val="both"/>
              <w:spacing w:before="0" w:after="0" w:line="240" w:lineRule="auto"/>
              <w:shd w:val="clear" w:color="auto" w:fill="ffffff"/>
              <w:widowControl w:val="off"/>
              <w:rPr>
                <w:sz w:val="24"/>
                <w:szCs w:val="24"/>
              </w:rPr>
            </w:pPr>
            <w:r>
              <w:rPr>
                <w:rFonts w:ascii="Times New Roman" w:hAnsi="Times New Roman" w:cs="Times New Roman"/>
                <w:b w:val="0"/>
                <w:bCs w:val="0"/>
                <w:sz w:val="24"/>
                <w:szCs w:val="24"/>
                <w:lang w:eastAsia="ru-RU"/>
              </w:rPr>
              <w:t xml:space="preserve">6. Грант РФФИ 19-07-00020 «Разработка моделей и методов бесконтактного управления устройствами с помощью технологий распознавания речи, жестов, мимики лица и глаз человека».</w:t>
            </w:r>
            <w:r>
              <w:rPr>
                <w:sz w:val="24"/>
                <w:szCs w:val="24"/>
              </w:rPr>
            </w:r>
            <w:r>
              <w:rPr>
                <w:sz w:val="24"/>
                <w:szCs w:val="24"/>
              </w:rPr>
            </w:r>
          </w:p>
          <w:p>
            <w:pPr>
              <w:pStyle w:val="859"/>
              <w:ind w:right="0" w:firstLine="0"/>
              <w:jc w:val="both"/>
              <w:spacing w:before="0" w:after="0" w:line="240" w:lineRule="auto"/>
              <w:shd w:val="clear" w:color="auto" w:fill="ffffff"/>
              <w:widowControl w:val="off"/>
              <w:rPr>
                <w:b w:val="0"/>
                <w:bCs w:val="0"/>
                <w:sz w:val="24"/>
                <w:szCs w:val="24"/>
              </w:rPr>
            </w:pPr>
            <w:r>
              <w:rPr>
                <w:b w:val="0"/>
                <w:bCs w:val="0"/>
                <w:sz w:val="24"/>
                <w:szCs w:val="24"/>
              </w:rPr>
            </w:r>
            <w:r>
              <w:rPr>
                <w:b w:val="0"/>
                <w:bCs w:val="0"/>
                <w:sz w:val="24"/>
                <w:szCs w:val="24"/>
              </w:rPr>
            </w:r>
            <w:r>
              <w:rPr>
                <w:b w:val="0"/>
                <w:bCs w:val="0"/>
                <w:sz w:val="24"/>
                <w:szCs w:val="24"/>
              </w:rPr>
            </w:r>
          </w:p>
          <w:p>
            <w:pPr>
              <w:pStyle w:val="918"/>
              <w:ind w:right="0" w:firstLine="0"/>
              <w:jc w:val="both"/>
              <w:widowControl w:val="off"/>
              <w:rPr>
                <w:sz w:val="24"/>
                <w:szCs w:val="24"/>
              </w:rPr>
            </w:pPr>
            <w:r>
              <w:rPr>
                <w:rFonts w:ascii="Times New Roman" w:hAnsi="Times New Roman" w:cs="Times New Roman"/>
                <w:b w:val="0"/>
                <w:bCs w:val="0"/>
                <w:sz w:val="24"/>
                <w:szCs w:val="24"/>
              </w:rPr>
              <w:t xml:space="preserve">III.</w:t>
            </w:r>
            <w:r>
              <w:rPr>
                <w:sz w:val="24"/>
                <w:szCs w:val="24"/>
              </w:rPr>
            </w:r>
            <w:r>
              <w:rPr>
                <w:sz w:val="24"/>
                <w:szCs w:val="24"/>
              </w:rPr>
            </w:r>
          </w:p>
          <w:p>
            <w:pPr>
              <w:pStyle w:val="918"/>
              <w:ind w:right="0" w:firstLine="0"/>
              <w:jc w:val="both"/>
              <w:widowControl w:val="off"/>
              <w:rPr>
                <w:sz w:val="24"/>
                <w:szCs w:val="24"/>
              </w:rPr>
            </w:pPr>
            <w:r>
              <w:rPr>
                <w:rFonts w:ascii="Times New Roman" w:hAnsi="Times New Roman" w:cs="Times New Roman"/>
                <w:b w:val="0"/>
                <w:bCs w:val="0"/>
                <w:sz w:val="24"/>
                <w:szCs w:val="24"/>
              </w:rPr>
              <w:t xml:space="preserve">Роль NO-ергической системы в формировании противодиабетического и нейропротекторного действия лекарственных средств с инкретиновой активностью. – РНФ: Конкурс 202</w:t>
            </w:r>
            <w:r>
              <w:rPr>
                <w:rFonts w:ascii="Times New Roman" w:hAnsi="Times New Roman" w:cs="Times New Roman"/>
                <w:b w:val="0"/>
                <w:bCs w:val="0"/>
                <w:sz w:val="24"/>
                <w:szCs w:val="24"/>
              </w:rPr>
              <w:t xml:space="preserve">0 года «Проведение исследований научными группами под руководством молодых ученых» Президентской программы исследовательских проектов, реализуемых ведущими учеными, в том числе молодыми учеными. Научный проект № 20-75-10013 – 2020 г. исполнитель Экова М.Р.</w:t>
            </w:r>
            <w:r>
              <w:rPr>
                <w:sz w:val="24"/>
                <w:szCs w:val="24"/>
              </w:rPr>
            </w:r>
            <w:r>
              <w:rPr>
                <w:sz w:val="24"/>
                <w:szCs w:val="24"/>
              </w:rPr>
            </w:r>
          </w:p>
          <w:p>
            <w:pPr>
              <w:pStyle w:val="918"/>
              <w:ind w:right="0" w:firstLine="0"/>
              <w:jc w:val="both"/>
              <w:widowControl w:val="off"/>
              <w:rPr>
                <w:b w:val="0"/>
                <w:bCs w:val="0"/>
                <w:sz w:val="24"/>
                <w:szCs w:val="24"/>
              </w:rPr>
            </w:pPr>
            <w:r>
              <w:rPr>
                <w:b w:val="0"/>
                <w:bCs w:val="0"/>
                <w:sz w:val="24"/>
                <w:szCs w:val="24"/>
              </w:rPr>
            </w:r>
            <w:r>
              <w:rPr>
                <w:b w:val="0"/>
                <w:bCs w:val="0"/>
                <w:sz w:val="24"/>
                <w:szCs w:val="24"/>
              </w:rPr>
            </w:r>
            <w:r>
              <w:rPr>
                <w:b w:val="0"/>
                <w:bCs w:val="0"/>
                <w:sz w:val="24"/>
                <w:szCs w:val="24"/>
              </w:rPr>
            </w:r>
          </w:p>
          <w:p>
            <w:pPr>
              <w:pStyle w:val="918"/>
              <w:ind w:right="0" w:firstLine="0"/>
              <w:jc w:val="both"/>
              <w:widowControl w:val="off"/>
              <w:rPr>
                <w:sz w:val="24"/>
                <w:szCs w:val="24"/>
              </w:rPr>
            </w:pPr>
            <w:r>
              <w:rPr>
                <w:rFonts w:ascii="Times New Roman" w:hAnsi="Times New Roman" w:cs="Times New Roman"/>
                <w:b w:val="0"/>
                <w:bCs w:val="0"/>
                <w:sz w:val="24"/>
                <w:szCs w:val="24"/>
              </w:rPr>
              <w:t xml:space="preserve">IV.</w:t>
            </w:r>
            <w:r>
              <w:rPr>
                <w:sz w:val="24"/>
                <w:szCs w:val="24"/>
              </w:rPr>
            </w:r>
            <w:r>
              <w:rPr>
                <w:sz w:val="24"/>
                <w:szCs w:val="24"/>
              </w:rPr>
            </w:r>
          </w:p>
          <w:p>
            <w:pPr>
              <w:pStyle w:val="918"/>
              <w:ind w:right="0" w:firstLine="0"/>
              <w:jc w:val="both"/>
              <w:widowControl w:val="off"/>
              <w:rPr>
                <w:sz w:val="24"/>
                <w:szCs w:val="24"/>
              </w:rPr>
            </w:pPr>
            <w:r>
              <w:rPr>
                <w:rFonts w:ascii="Times New Roman" w:hAnsi="Times New Roman" w:cs="Times New Roman"/>
                <w:b w:val="0"/>
                <w:bCs w:val="0"/>
                <w:sz w:val="24"/>
                <w:szCs w:val="24"/>
              </w:rPr>
              <w:t xml:space="preserve">Медицинская химия в создании лекарственных средств нового поколения для лечения социально значимых заболеваний (Грант РНФ).</w:t>
            </w:r>
            <w:r>
              <w:rPr>
                <w:sz w:val="24"/>
                <w:szCs w:val="24"/>
              </w:rPr>
            </w:r>
            <w:r>
              <w:rPr>
                <w:sz w:val="24"/>
                <w:szCs w:val="24"/>
              </w:rPr>
            </w:r>
          </w:p>
          <w:p>
            <w:pPr>
              <w:pStyle w:val="918"/>
              <w:ind w:right="0" w:firstLine="0"/>
              <w:jc w:val="both"/>
              <w:widowControl w:val="off"/>
              <w:rPr>
                <w:sz w:val="24"/>
                <w:szCs w:val="24"/>
              </w:rPr>
            </w:pPr>
            <w:r>
              <w:rPr>
                <w:rFonts w:ascii="Times New Roman" w:hAnsi="Times New Roman" w:cs="Times New Roman"/>
                <w:b w:val="0"/>
                <w:bCs w:val="0"/>
                <w:sz w:val="24"/>
                <w:szCs w:val="24"/>
              </w:rPr>
              <w:t xml:space="preserve">Поиск агентов, разруш</w:t>
            </w:r>
            <w:r>
              <w:rPr>
                <w:rFonts w:ascii="Times New Roman" w:hAnsi="Times New Roman" w:cs="Times New Roman"/>
                <w:b w:val="0"/>
                <w:bCs w:val="0"/>
                <w:sz w:val="24"/>
                <w:szCs w:val="24"/>
              </w:rPr>
              <w:t xml:space="preserve">ающих поперечные связи гликозилированных белков, антигликирующих и дегликативных агентов, потенциально снижающих матрикс-ассоциированные эффекты, блокаторов в качестве агентов, снижающих внеклеточную ригидность и патологические эффекты (Лига долгожителей).</w:t>
            </w:r>
            <w:r>
              <w:rPr>
                <w:sz w:val="24"/>
                <w:szCs w:val="24"/>
              </w:rPr>
            </w:r>
            <w:r>
              <w:rPr>
                <w:sz w:val="24"/>
                <w:szCs w:val="24"/>
              </w:rPr>
            </w:r>
          </w:p>
          <w:p>
            <w:pPr>
              <w:pStyle w:val="918"/>
              <w:ind w:right="0" w:firstLine="0"/>
              <w:jc w:val="both"/>
              <w:widowControl w:val="off"/>
              <w:rPr>
                <w:sz w:val="24"/>
                <w:szCs w:val="24"/>
              </w:rPr>
            </w:pPr>
            <w:r>
              <w:rPr>
                <w:rFonts w:ascii="Times New Roman" w:hAnsi="Times New Roman" w:cs="Times New Roman"/>
                <w:b w:val="0"/>
                <w:bCs w:val="0"/>
                <w:sz w:val="24"/>
                <w:szCs w:val="24"/>
              </w:rPr>
              <w:t xml:space="preserve">Синтез и изучение эффективности биоизостеров мелатонина (Грант РНФ).</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2.5.</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Реализованн</w:t>
            </w:r>
            <w:r>
              <w:rPr>
                <w:rFonts w:ascii="Times New Roman" w:hAnsi="Times New Roman" w:cs="Times New Roman"/>
                <w:sz w:val="24"/>
                <w:szCs w:val="24"/>
              </w:rPr>
              <w:t xml:space="preserve">ые и внедренные в Волгоградской области результаты прикладных научных исследований и (или) опытно-конструкторских работ, выполненных с участием руководителя проекта, за последние пять лет (копии подтверждающих документов, в том числе копии актов внедрения)</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918"/>
              <w:ind w:right="0" w:firstLine="0"/>
              <w:jc w:val="both"/>
              <w:widowControl w:val="off"/>
              <w:rPr>
                <w:sz w:val="24"/>
                <w:szCs w:val="24"/>
              </w:rPr>
            </w:pPr>
            <w:r>
              <w:rPr>
                <w:rFonts w:ascii="Times New Roman" w:hAnsi="Times New Roman" w:cs="Times New Roman"/>
                <w:sz w:val="24"/>
                <w:szCs w:val="24"/>
              </w:rPr>
              <w:t xml:space="preserve">I.</w:t>
            </w:r>
            <w:r>
              <w:rPr>
                <w:sz w:val="24"/>
                <w:szCs w:val="24"/>
              </w:rPr>
            </w:r>
            <w:r>
              <w:rPr>
                <w:sz w:val="24"/>
                <w:szCs w:val="24"/>
              </w:rPr>
            </w:r>
          </w:p>
          <w:p>
            <w:pPr>
              <w:pStyle w:val="918"/>
              <w:ind w:right="0" w:firstLine="0"/>
              <w:jc w:val="both"/>
              <w:widowControl w:val="off"/>
              <w:rPr>
                <w:sz w:val="24"/>
                <w:szCs w:val="24"/>
              </w:rPr>
            </w:pPr>
            <w:r>
              <w:rPr>
                <w:rFonts w:ascii="Times New Roman" w:hAnsi="Times New Roman" w:eastAsia="Times New Roman" w:cs="Times New Roman"/>
                <w:color w:val="auto"/>
                <w:sz w:val="24"/>
                <w:szCs w:val="24"/>
                <w:lang w:val="ru-RU" w:eastAsia="zh-CN" w:bidi="ar-SA"/>
              </w:rPr>
              <w:t xml:space="preserve">Договор от 14.08.2023 №14/08 ФГБОУ ВО ВолгГМУ Минздрава России с ООО «АЙТИ-АЛЬБИОН» на выполнение научно–исследовательских работ по теме: «Разработка клинических протоколов для медицинской информационной системы».</w:t>
            </w:r>
            <w:r>
              <w:rPr>
                <w:sz w:val="24"/>
                <w:szCs w:val="24"/>
              </w:rPr>
            </w:r>
            <w:r>
              <w:rPr>
                <w:sz w:val="24"/>
                <w:szCs w:val="24"/>
              </w:rPr>
            </w:r>
          </w:p>
          <w:p>
            <w:pPr>
              <w:pStyle w:val="918"/>
              <w:ind w:right="0" w:firstLine="0"/>
              <w:jc w:val="both"/>
              <w:widowControl w:val="off"/>
              <w:rPr>
                <w:sz w:val="24"/>
                <w:szCs w:val="24"/>
              </w:rPr>
            </w:pPr>
            <w:r>
              <w:rPr>
                <w:rFonts w:ascii="Times New Roman" w:hAnsi="Times New Roman" w:eastAsia="Times New Roman" w:cs="Times New Roman"/>
                <w:color w:val="auto"/>
                <w:sz w:val="24"/>
                <w:szCs w:val="24"/>
                <w:lang w:val="ru-RU" w:eastAsia="zh-CN" w:bidi="ar-SA"/>
              </w:rPr>
              <w:t xml:space="preserve">На уровне региональной информационной системы в сфере здравоохранения цифрового решения внедрены для практического применения 370 клинических протоколов на основе действовавших на момент реализации проекта клинических рекомендаций.</w:t>
            </w:r>
            <w:r>
              <w:rPr>
                <w:sz w:val="24"/>
                <w:szCs w:val="24"/>
              </w:rPr>
            </w:r>
            <w:r>
              <w:rPr>
                <w:sz w:val="24"/>
                <w:szCs w:val="24"/>
              </w:rPr>
            </w:r>
          </w:p>
          <w:p>
            <w:pPr>
              <w:pStyle w:val="918"/>
              <w:ind w:right="0" w:firstLine="0"/>
              <w:jc w:val="both"/>
              <w:widowControl w:val="off"/>
              <w:rPr>
                <w:rFonts w:ascii="Times New Roman" w:hAnsi="Times New Roman" w:eastAsia="Times New Roman" w:cs="Times New Roman"/>
                <w:color w:val="auto"/>
                <w:sz w:val="24"/>
                <w:szCs w:val="24"/>
                <w:lang w:val="ru-RU" w:eastAsia="zh-CN" w:bidi="ar-SA"/>
              </w:rPr>
            </w:pP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p>
          <w:p>
            <w:pPr>
              <w:pStyle w:val="918"/>
              <w:ind w:right="0" w:firstLine="0"/>
              <w:jc w:val="both"/>
              <w:widowControl w:val="off"/>
              <w:rPr>
                <w:sz w:val="24"/>
                <w:szCs w:val="24"/>
              </w:rPr>
            </w:pPr>
            <w:r>
              <w:rPr>
                <w:rFonts w:ascii="Times New Roman" w:hAnsi="Times New Roman" w:eastAsia="Times New Roman" w:cs="Times New Roman"/>
                <w:color w:val="auto"/>
                <w:sz w:val="24"/>
                <w:szCs w:val="24"/>
                <w:lang w:val="ru-RU" w:eastAsia="zh-CN" w:bidi="ar-SA"/>
              </w:rPr>
              <w:t xml:space="preserve">II.</w:t>
            </w:r>
            <w:r>
              <w:rPr>
                <w:sz w:val="24"/>
                <w:szCs w:val="24"/>
              </w:rPr>
            </w:r>
            <w:r>
              <w:rPr>
                <w:sz w:val="24"/>
                <w:szCs w:val="24"/>
              </w:rPr>
            </w:r>
          </w:p>
          <w:p>
            <w:pPr>
              <w:pStyle w:val="918"/>
              <w:ind w:right="0" w:firstLine="0"/>
              <w:jc w:val="both"/>
              <w:widowControl w:val="off"/>
              <w:rPr>
                <w:sz w:val="24"/>
                <w:szCs w:val="24"/>
              </w:rPr>
            </w:pPr>
            <w:r>
              <w:rPr>
                <w:rFonts w:ascii="Times New Roman" w:hAnsi="Times New Roman" w:eastAsia="Times New Roman" w:cs="Times New Roman"/>
                <w:b w:val="0"/>
                <w:bCs w:val="0"/>
                <w:color w:val="auto"/>
                <w:sz w:val="24"/>
                <w:szCs w:val="24"/>
                <w:lang w:val="ru-RU" w:eastAsia="zh-CN" w:bidi="ar-SA"/>
              </w:rPr>
              <w:t xml:space="preserve">Внедрение систем реабилитации после ковида в медицинские организации – 6 свидетельств о внедрении.</w:t>
            </w:r>
            <w:r>
              <w:rPr>
                <w:sz w:val="24"/>
                <w:szCs w:val="24"/>
              </w:rPr>
            </w:r>
            <w:r>
              <w:rPr>
                <w:sz w:val="24"/>
                <w:szCs w:val="24"/>
              </w:rPr>
            </w:r>
          </w:p>
          <w:p>
            <w:pPr>
              <w:pStyle w:val="918"/>
              <w:ind w:right="0" w:firstLine="0"/>
              <w:jc w:val="both"/>
              <w:widowControl w:val="off"/>
              <w:rPr>
                <w:rFonts w:ascii="Times New Roman" w:hAnsi="Times New Roman" w:eastAsia="Times New Roman" w:cs="Times New Roman"/>
                <w:color w:val="auto"/>
                <w:sz w:val="24"/>
                <w:szCs w:val="24"/>
                <w:lang w:val="ru-RU" w:eastAsia="zh-CN" w:bidi="ar-SA"/>
              </w:rPr>
            </w:pP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p>
          <w:p>
            <w:pPr>
              <w:pStyle w:val="918"/>
              <w:ind w:right="0" w:firstLine="0"/>
              <w:jc w:val="both"/>
              <w:widowControl w:val="off"/>
              <w:rPr>
                <w:sz w:val="24"/>
                <w:szCs w:val="24"/>
              </w:rPr>
            </w:pPr>
            <w:r>
              <w:rPr>
                <w:rFonts w:ascii="Times New Roman" w:hAnsi="Times New Roman" w:eastAsia="Times New Roman" w:cs="Times New Roman"/>
                <w:color w:val="auto"/>
                <w:sz w:val="24"/>
                <w:szCs w:val="24"/>
                <w:lang w:val="ru-RU" w:eastAsia="zh-CN" w:bidi="ar-SA"/>
              </w:rPr>
              <w:t xml:space="preserve">III.</w:t>
            </w:r>
            <w:r>
              <w:rPr>
                <w:sz w:val="24"/>
                <w:szCs w:val="24"/>
              </w:rPr>
            </w:r>
            <w:r>
              <w:rPr>
                <w:sz w:val="24"/>
                <w:szCs w:val="24"/>
              </w:rPr>
            </w:r>
          </w:p>
          <w:p>
            <w:pPr>
              <w:pStyle w:val="918"/>
              <w:ind w:right="0" w:firstLine="0"/>
              <w:jc w:val="both"/>
              <w:widowControl w:val="off"/>
              <w:rPr>
                <w:sz w:val="24"/>
                <w:szCs w:val="24"/>
              </w:rPr>
            </w:pPr>
            <w:r>
              <w:rPr>
                <w:rFonts w:ascii="Times New Roman" w:hAnsi="Times New Roman" w:eastAsia="Times New Roman" w:cs="Times New Roman"/>
                <w:color w:val="auto"/>
                <w:sz w:val="24"/>
                <w:szCs w:val="24"/>
                <w:lang w:val="ru-RU" w:eastAsia="zh-CN" w:bidi="ar-SA"/>
              </w:rPr>
              <w:t xml:space="preserve">Сравнительная эффективность остеопластических препаратов для замещения послеоперационных дефектов челюстей (акт внедрения в работу ГБУЗ ВОКБ №1, 2022 г.).</w:t>
            </w:r>
            <w:r>
              <w:rPr>
                <w:sz w:val="24"/>
                <w:szCs w:val="24"/>
              </w:rPr>
            </w:r>
            <w:r>
              <w:rPr>
                <w:sz w:val="24"/>
                <w:szCs w:val="24"/>
              </w:rPr>
            </w:r>
          </w:p>
          <w:p>
            <w:pPr>
              <w:pStyle w:val="918"/>
              <w:ind w:right="0" w:firstLine="0"/>
              <w:jc w:val="both"/>
              <w:widowControl w:val="off"/>
              <w:rPr>
                <w:rFonts w:ascii="Times New Roman" w:hAnsi="Times New Roman" w:eastAsia="Times New Roman" w:cs="Times New Roman"/>
                <w:color w:val="auto"/>
                <w:sz w:val="24"/>
                <w:szCs w:val="24"/>
                <w:lang w:val="ru-RU" w:eastAsia="zh-CN" w:bidi="ar-SA"/>
              </w:rPr>
            </w:pP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p>
          <w:p>
            <w:pPr>
              <w:pStyle w:val="918"/>
              <w:ind w:right="0" w:firstLine="0"/>
              <w:jc w:val="both"/>
              <w:widowControl w:val="off"/>
              <w:rPr>
                <w:sz w:val="24"/>
                <w:szCs w:val="24"/>
              </w:rPr>
            </w:pPr>
            <w:r>
              <w:rPr>
                <w:rFonts w:ascii="Times New Roman" w:hAnsi="Times New Roman" w:eastAsia="Times New Roman" w:cs="Times New Roman"/>
                <w:color w:val="auto"/>
                <w:sz w:val="24"/>
                <w:szCs w:val="24"/>
                <w:lang w:val="ru-RU" w:eastAsia="zh-CN" w:bidi="ar-SA"/>
              </w:rPr>
              <w:t xml:space="preserve">IV.</w:t>
            </w:r>
            <w:r>
              <w:rPr>
                <w:sz w:val="24"/>
                <w:szCs w:val="24"/>
              </w:rPr>
            </w:r>
            <w:r>
              <w:rPr>
                <w:sz w:val="24"/>
                <w:szCs w:val="24"/>
              </w:rPr>
            </w:r>
          </w:p>
          <w:p>
            <w:pPr>
              <w:pStyle w:val="918"/>
              <w:ind w:right="0" w:firstLine="0"/>
              <w:jc w:val="both"/>
              <w:widowControl w:val="off"/>
              <w:rPr>
                <w:sz w:val="24"/>
                <w:szCs w:val="24"/>
              </w:rPr>
            </w:pPr>
            <w:r>
              <w:rPr>
                <w:rFonts w:ascii="Times New Roman" w:hAnsi="Times New Roman" w:eastAsia="Times New Roman" w:cs="Times New Roman"/>
                <w:color w:val="auto"/>
                <w:sz w:val="24"/>
                <w:szCs w:val="24"/>
                <w:lang w:val="ru-RU" w:eastAsia="zh-CN" w:bidi="ar-SA"/>
              </w:rPr>
              <w:t xml:space="preserve">-</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2.6.</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Наличие дипломов, грамот, медалей, полученных в области знаний представленного проекта (копии подтверждающих документов)</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859"/>
              <w:spacing w:before="0" w:after="0"/>
              <w:widowControl w:val="off"/>
              <w:rPr>
                <w:sz w:val="24"/>
                <w:szCs w:val="24"/>
              </w:rPr>
            </w:pPr>
            <w:r>
              <w:rPr>
                <w:rFonts w:ascii="Times New Roman" w:hAnsi="Times New Roman" w:eastAsia="Times New Roman" w:cs="Times New Roman"/>
                <w:color w:val="auto"/>
                <w:sz w:val="24"/>
                <w:szCs w:val="24"/>
                <w:lang w:val="ru-RU" w:eastAsia="zh-CN" w:bidi="ar-SA"/>
              </w:rPr>
              <w:t xml:space="preserve">I.</w:t>
            </w:r>
            <w:r>
              <w:rPr>
                <w:sz w:val="24"/>
                <w:szCs w:val="24"/>
              </w:rPr>
            </w:r>
            <w:r>
              <w:rPr>
                <w:sz w:val="24"/>
                <w:szCs w:val="24"/>
              </w:rPr>
            </w:r>
          </w:p>
          <w:p>
            <w:pPr>
              <w:pStyle w:val="859"/>
              <w:spacing w:before="0" w:after="0"/>
              <w:widowControl w:val="off"/>
              <w:rPr>
                <w:sz w:val="24"/>
                <w:szCs w:val="24"/>
              </w:rPr>
            </w:pPr>
            <w:r>
              <w:rPr>
                <w:rFonts w:ascii="Times New Roman" w:hAnsi="Times New Roman" w:eastAsia="Times New Roman" w:cs="Times New Roman"/>
                <w:color w:val="auto"/>
                <w:sz w:val="24"/>
                <w:szCs w:val="24"/>
                <w:lang w:val="ru-RU" w:eastAsia="zh-CN" w:bidi="ar-SA"/>
              </w:rPr>
              <w:t xml:space="preserve">Дипломы Шкарина В.В., Аджиенко В.Л. за III место в номинации «Цифровая трансформация здравоохранения: результативные проекты» III Всероссийской премии «Оргздрав: лидеры отрасли» (2024 г.) за реализованный проект «Внедрение клинических протоколов в РИСЗ».</w:t>
            </w:r>
            <w:r>
              <w:rPr>
                <w:sz w:val="24"/>
                <w:szCs w:val="24"/>
              </w:rPr>
            </w:r>
            <w:r>
              <w:rPr>
                <w:sz w:val="24"/>
                <w:szCs w:val="24"/>
              </w:rPr>
            </w:r>
          </w:p>
          <w:p>
            <w:pPr>
              <w:pStyle w:val="859"/>
              <w:spacing w:before="0" w:after="0"/>
              <w:widowControl w:val="off"/>
              <w:rPr>
                <w:rFonts w:ascii="Times New Roman" w:hAnsi="Times New Roman" w:eastAsia="Times New Roman" w:cs="Times New Roman"/>
                <w:color w:val="auto"/>
                <w:sz w:val="24"/>
                <w:szCs w:val="24"/>
                <w:lang w:val="ru-RU" w:eastAsia="zh-CN" w:bidi="ar-SA"/>
              </w:rPr>
            </w:pP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p>
          <w:p>
            <w:pPr>
              <w:pStyle w:val="859"/>
              <w:spacing w:before="0" w:after="0"/>
              <w:widowControl w:val="off"/>
              <w:rPr>
                <w:sz w:val="24"/>
                <w:szCs w:val="24"/>
              </w:rPr>
            </w:pPr>
            <w:r>
              <w:rPr>
                <w:rFonts w:ascii="Times New Roman" w:hAnsi="Times New Roman" w:eastAsia="Times New Roman" w:cs="Times New Roman"/>
                <w:color w:val="auto"/>
                <w:sz w:val="24"/>
                <w:szCs w:val="24"/>
                <w:lang w:val="ru-RU" w:eastAsia="zh-CN" w:bidi="ar-SA"/>
              </w:rPr>
              <w:t xml:space="preserve">II.</w:t>
            </w:r>
            <w:r>
              <w:rPr>
                <w:sz w:val="24"/>
                <w:szCs w:val="24"/>
              </w:rPr>
            </w:r>
            <w:r>
              <w:rPr>
                <w:sz w:val="24"/>
                <w:szCs w:val="24"/>
              </w:rPr>
            </w:r>
          </w:p>
          <w:p>
            <w:pPr>
              <w:pStyle w:val="859"/>
              <w:spacing w:before="0" w:after="0"/>
              <w:widowControl w:val="off"/>
              <w:rPr>
                <w:sz w:val="24"/>
                <w:szCs w:val="24"/>
              </w:rPr>
            </w:pPr>
            <w:r>
              <w:rPr>
                <w:rFonts w:ascii="Times New Roman" w:hAnsi="Times New Roman" w:eastAsia="Times New Roman" w:cs="Times New Roman"/>
                <w:color w:val="auto"/>
                <w:sz w:val="24"/>
                <w:szCs w:val="24"/>
                <w:lang w:val="ru-RU" w:eastAsia="zh-CN" w:bidi="ar-SA"/>
              </w:rPr>
              <w:t xml:space="preserve">Золотая медаль Российской Академии Наук (Зубков Александр Владимирович).</w:t>
            </w:r>
            <w:r>
              <w:rPr>
                <w:sz w:val="24"/>
                <w:szCs w:val="24"/>
              </w:rPr>
            </w:r>
            <w:r>
              <w:rPr>
                <w:sz w:val="24"/>
                <w:szCs w:val="24"/>
              </w:rPr>
            </w:r>
          </w:p>
          <w:p>
            <w:pPr>
              <w:pStyle w:val="859"/>
              <w:spacing w:before="0" w:after="0"/>
              <w:widowControl w:val="off"/>
              <w:rPr>
                <w:rFonts w:ascii="Times New Roman" w:hAnsi="Times New Roman" w:eastAsia="Times New Roman" w:cs="Times New Roman"/>
                <w:color w:val="auto"/>
                <w:sz w:val="24"/>
                <w:szCs w:val="24"/>
                <w:lang w:val="ru-RU" w:eastAsia="zh-CN" w:bidi="ar-SA"/>
              </w:rPr>
            </w:pP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p>
          <w:p>
            <w:pPr>
              <w:pStyle w:val="859"/>
              <w:spacing w:before="0" w:after="0"/>
              <w:widowControl w:val="off"/>
              <w:rPr>
                <w:sz w:val="24"/>
                <w:szCs w:val="24"/>
              </w:rPr>
            </w:pPr>
            <w:r>
              <w:rPr>
                <w:rFonts w:ascii="Times New Roman" w:hAnsi="Times New Roman" w:eastAsia="Times New Roman" w:cs="Times New Roman"/>
                <w:color w:val="auto"/>
                <w:sz w:val="24"/>
                <w:szCs w:val="24"/>
                <w:lang w:val="ru-RU" w:eastAsia="zh-CN" w:bidi="ar-SA"/>
              </w:rPr>
              <w:t xml:space="preserve">III.</w:t>
            </w:r>
            <w:r>
              <w:rPr>
                <w:sz w:val="24"/>
                <w:szCs w:val="24"/>
              </w:rPr>
            </w:r>
            <w:r>
              <w:rPr>
                <w:sz w:val="24"/>
                <w:szCs w:val="24"/>
              </w:rPr>
            </w:r>
          </w:p>
          <w:p>
            <w:pPr>
              <w:pStyle w:val="859"/>
              <w:spacing w:before="0" w:after="0"/>
              <w:widowControl w:val="off"/>
              <w:rPr>
                <w:sz w:val="24"/>
                <w:szCs w:val="24"/>
              </w:rPr>
            </w:pPr>
            <w:r>
              <w:rPr>
                <w:rFonts w:ascii="Times New Roman" w:hAnsi="Times New Roman" w:eastAsia="Times New Roman" w:cs="Times New Roman"/>
                <w:color w:val="auto"/>
                <w:sz w:val="24"/>
                <w:szCs w:val="24"/>
                <w:lang w:val="ru-RU" w:eastAsia="zh-CN" w:bidi="ar-SA"/>
              </w:rPr>
              <w:t xml:space="preserve">-</w:t>
            </w:r>
            <w:r>
              <w:rPr>
                <w:sz w:val="24"/>
                <w:szCs w:val="24"/>
              </w:rPr>
            </w:r>
            <w:r>
              <w:rPr>
                <w:sz w:val="24"/>
                <w:szCs w:val="24"/>
              </w:rPr>
            </w:r>
          </w:p>
          <w:p>
            <w:pPr>
              <w:pStyle w:val="859"/>
              <w:spacing w:before="0" w:after="0"/>
              <w:widowControl w:val="off"/>
              <w:rPr>
                <w:rFonts w:ascii="Times New Roman" w:hAnsi="Times New Roman" w:eastAsia="Times New Roman" w:cs="Times New Roman"/>
                <w:color w:val="auto"/>
                <w:sz w:val="24"/>
                <w:szCs w:val="24"/>
                <w:lang w:val="ru-RU" w:eastAsia="zh-CN" w:bidi="ar-SA"/>
              </w:rPr>
            </w:pP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p>
          <w:p>
            <w:pPr>
              <w:pStyle w:val="859"/>
              <w:spacing w:before="0" w:after="0"/>
              <w:widowControl w:val="off"/>
              <w:rPr>
                <w:sz w:val="24"/>
                <w:szCs w:val="24"/>
              </w:rPr>
            </w:pPr>
            <w:r>
              <w:rPr>
                <w:rFonts w:ascii="Times New Roman" w:hAnsi="Times New Roman" w:eastAsia="Times New Roman" w:cs="Times New Roman"/>
                <w:color w:val="auto"/>
                <w:sz w:val="24"/>
                <w:szCs w:val="24"/>
                <w:lang w:val="ru-RU" w:eastAsia="zh-CN" w:bidi="ar-SA"/>
              </w:rPr>
              <w:t xml:space="preserve">IV.</w:t>
            </w:r>
            <w:r>
              <w:rPr>
                <w:sz w:val="24"/>
                <w:szCs w:val="24"/>
              </w:rPr>
            </w:r>
            <w:r>
              <w:rPr>
                <w:sz w:val="24"/>
                <w:szCs w:val="24"/>
              </w:rPr>
            </w:r>
          </w:p>
          <w:p>
            <w:pPr>
              <w:pStyle w:val="859"/>
              <w:spacing w:before="0" w:after="0"/>
              <w:widowControl w:val="off"/>
              <w:rPr>
                <w:sz w:val="24"/>
                <w:szCs w:val="24"/>
              </w:rPr>
            </w:pPr>
            <w:r>
              <w:rPr>
                <w:rFonts w:ascii="Times New Roman" w:hAnsi="Times New Roman" w:eastAsia="Times New Roman" w:cs="Times New Roman"/>
                <w:color w:val="auto"/>
                <w:sz w:val="24"/>
                <w:szCs w:val="24"/>
                <w:lang w:val="ru-RU" w:eastAsia="zh-CN" w:bidi="ar-SA"/>
              </w:rPr>
              <w:t xml:space="preserve">-</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3.</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Ожидаемые результаты </w:t>
            </w:r>
            <w:r>
              <w:rPr>
                <w:rFonts w:ascii="Times New Roman" w:hAnsi="Times New Roman" w:cs="Times New Roman"/>
                <w:bCs/>
                <w:sz w:val="24"/>
                <w:szCs w:val="24"/>
                <w:lang w:bidi="en-US"/>
              </w:rPr>
              <w:t xml:space="preserve">фундаментальных и прикладных научных исследований (работ)</w:t>
            </w:r>
            <w:r>
              <w:rPr>
                <w:rFonts w:ascii="Times New Roman" w:hAnsi="Times New Roman" w:cs="Times New Roman"/>
                <w:sz w:val="24"/>
                <w:szCs w:val="24"/>
              </w:rPr>
              <w:t xml:space="preserve"> [указать, что будет разработано, получено в результате выполнения проекта]</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I.</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Результатом научно-практических исследований в рамках гранта станет разработка целевых аналитических, методологических и образовательных модулей для «бесшовного» перехода к новой региональной МИС.</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eastAsia="Times New Roman" w:cs="Times New Roman"/>
                <w:color w:val="000000"/>
                <w:sz w:val="24"/>
                <w:szCs w:val="24"/>
                <w:shd w:val="clear" w:color="auto" w:fill="auto"/>
                <w:lang w:val="ru-RU" w:eastAsia="ru-RU" w:bidi="ar-SA"/>
              </w:rPr>
              <w:t xml:space="preserve">По результатам будет подано в печать не менее 2 статей </w:t>
            </w:r>
            <w:r>
              <w:rPr>
                <w:rFonts w:ascii="Times New Roman" w:hAnsi="Times New Roman" w:cs="Times New Roman"/>
                <w:sz w:val="24"/>
                <w:szCs w:val="24"/>
                <w:lang w:eastAsia="ru-RU"/>
              </w:rPr>
              <w:t xml:space="preserve">в Волгоградский научно-медицинский журнал (ВАК), в Кубанский научный медицинский вестник (ВАК и Scopus).</w:t>
            </w:r>
            <w:r>
              <w:rPr>
                <w:sz w:val="24"/>
                <w:szCs w:val="24"/>
              </w:rPr>
            </w:r>
            <w:r>
              <w:rPr>
                <w:sz w:val="24"/>
                <w:szCs w:val="24"/>
              </w:rPr>
            </w:r>
          </w:p>
          <w:p>
            <w:pPr>
              <w:pStyle w:val="859"/>
              <w:ind w:right="0" w:firstLine="709"/>
              <w:jc w:val="both"/>
              <w:spacing w:before="0" w:after="0" w:line="240" w:lineRule="auto"/>
              <w:widowControl w:val="off"/>
              <w:rPr>
                <w:sz w:val="24"/>
                <w:szCs w:val="24"/>
              </w:rPr>
            </w:pPr>
            <w:r>
              <w:rPr>
                <w:sz w:val="24"/>
                <w:szCs w:val="24"/>
              </w:rPr>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II.</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В Волгоградской области будут достигнуты следующие прикладные научные результаты:</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 xml:space="preserve">Создана автоматизированная система сбора, анализа и управления потребностями медицинских организаций, включающая инструменты прогнозирования, визуализации и поддержки принятия решений.</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 xml:space="preserve">Разработаны и внедрены </w:t>
            </w:r>
            <w:r>
              <w:rPr>
                <w:rFonts w:ascii="Times New Roman" w:hAnsi="Times New Roman" w:cs="Times New Roman"/>
                <w:sz w:val="24"/>
                <w:szCs w:val="24"/>
                <w:lang w:eastAsia="ru-RU"/>
              </w:rPr>
              <w:t xml:space="preserve">алгоритмы оптимизации процессов планирования и закупок, что позволит сократить время обработки заявок на 30%, повысить удовлетворенность медицинских организаций на 30% и уменьшить типовые проблемы нехватки или нерационального использования ресурсов на 20%.</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 xml:space="preserve">Интегрированы Lean-технологии и принципы бережливого производства в систему взаимодействия с поставщиками для минимизации потерь и увеличения эффективности распределения ресурсов.</w:t>
            </w:r>
            <w:r>
              <w:rPr>
                <w:sz w:val="24"/>
                <w:szCs w:val="24"/>
              </w:rPr>
            </w:r>
            <w:r>
              <w:rPr>
                <w:sz w:val="24"/>
                <w:szCs w:val="24"/>
              </w:rPr>
            </w:r>
          </w:p>
          <w:p>
            <w:pPr>
              <w:pStyle w:val="859"/>
              <w:ind w:right="0" w:firstLine="709"/>
              <w:jc w:val="both"/>
              <w:spacing w:before="0" w:after="0" w:line="240" w:lineRule="auto"/>
              <w:widowControl w:val="off"/>
              <w:rPr>
                <w:sz w:val="24"/>
                <w:szCs w:val="24"/>
              </w:rPr>
            </w:pPr>
            <w:r>
              <w:rPr>
                <w:sz w:val="24"/>
                <w:szCs w:val="24"/>
              </w:rPr>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III.</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По результатам проведенного</w:t>
            </w:r>
            <w:r>
              <w:rPr>
                <w:rFonts w:ascii="Times New Roman" w:hAnsi="Times New Roman" w:cs="Times New Roman"/>
                <w:sz w:val="24"/>
                <w:szCs w:val="24"/>
                <w:lang w:eastAsia="ru-RU"/>
              </w:rPr>
              <w:t xml:space="preserve"> исследования будет создана региональная информационная база данных пациентов для прогнозирования персонифицированного риска прогрессирования хронических воспалительных заболеваний ЖКТ, имеющих высокий потенциал злокачественной трансформации. Информация из</w:t>
            </w:r>
            <w:r>
              <w:rPr>
                <w:rFonts w:ascii="Times New Roman" w:hAnsi="Times New Roman" w:cs="Times New Roman"/>
                <w:sz w:val="24"/>
                <w:szCs w:val="24"/>
                <w:lang w:eastAsia="ru-RU"/>
              </w:rPr>
              <w:t xml:space="preserve"> созданных региональных баз данных может в дальнейшем служить для обучения искусственного интеллекта, машинного обучения и обучения нейронных сетей в оценке прогнозирования риска развития патологических процессов с учетом этиологического фактора и возможно</w:t>
            </w:r>
            <w:r>
              <w:rPr>
                <w:rFonts w:ascii="Times New Roman" w:hAnsi="Times New Roman" w:cs="Times New Roman"/>
                <w:sz w:val="24"/>
                <w:szCs w:val="24"/>
                <w:lang w:eastAsia="ru-RU"/>
              </w:rPr>
              <w:t xml:space="preserve">сти принятия врачебных решений по снижению предопухолевых заболеваний и увеличению возраста активного долголетия. Планируется направить информацию по расширению и усовершенствованию методик прижизненной патологоанатомической диагностики материала эндоскопи</w:t>
            </w:r>
            <w:r>
              <w:rPr>
                <w:rFonts w:ascii="Times New Roman" w:hAnsi="Times New Roman" w:cs="Times New Roman"/>
                <w:sz w:val="24"/>
                <w:szCs w:val="24"/>
                <w:lang w:eastAsia="ru-RU"/>
              </w:rPr>
              <w:t xml:space="preserve">ческих биопсий желудочно-кишечного тракта для внесения в клинические рекомендации профильным главным внештатным специалистам Министерства здравоохранения РФ, организациям медицинского сообщества по профильным направлениям и Национальную медицинскую палату.</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Разработанный комплексный клинико-морфологический подход к диагностике хронических воспалительных заболеваний ЖКТ, имеющих высокий по</w:t>
            </w:r>
            <w:r>
              <w:rPr>
                <w:rFonts w:ascii="Times New Roman" w:hAnsi="Times New Roman" w:cs="Times New Roman"/>
                <w:sz w:val="24"/>
                <w:szCs w:val="24"/>
                <w:lang w:eastAsia="ru-RU"/>
              </w:rPr>
              <w:t xml:space="preserve">тенциал злокачественной трансформации планируется внедрить в работу медицинских организаций Волгоградской области что позволит после реализации проекта обеспечивать диагностику данных заболеваний ежегодно более 3000 человек – жителей Волгоградской области.</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Мероприятия по выявлению региональных клинико-морфологических особенностей хронических воспалительных заболеваний сли</w:t>
            </w:r>
            <w:r>
              <w:rPr>
                <w:rFonts w:ascii="Times New Roman" w:hAnsi="Times New Roman" w:cs="Times New Roman"/>
                <w:sz w:val="24"/>
                <w:szCs w:val="24"/>
                <w:lang w:eastAsia="ru-RU"/>
              </w:rPr>
              <w:t xml:space="preserve">зистой оболочки ЖКТ с высоким риском злокачественной трансформации позволят сократить издержки бюджета на онкологическую помощь путем снижения количества злокачественных новообразований благодаря эффективно диагностики и лечению предопухолевых заболеваний.</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eastAsia="Times New Roman" w:cs="Times New Roman"/>
                <w:color w:val="000000"/>
                <w:sz w:val="24"/>
                <w:szCs w:val="24"/>
                <w:shd w:val="clear" w:color="auto" w:fill="auto"/>
                <w:lang w:val="ru-RU" w:eastAsia="ru-RU" w:bidi="ar-SA"/>
              </w:rPr>
              <w:t xml:space="preserve">По результатам будет подано в печать не менее 1 статьи в журнал, входящий в список RSCI, не менее 2 статей в журналах из списка ВАК. Результаты работы будут доложены на всероссийской конференции.</w:t>
            </w:r>
            <w:r>
              <w:rPr>
                <w:sz w:val="24"/>
                <w:szCs w:val="24"/>
              </w:rPr>
            </w:r>
            <w:r>
              <w:rPr>
                <w:sz w:val="24"/>
                <w:szCs w:val="24"/>
              </w:rPr>
            </w:r>
          </w:p>
          <w:p>
            <w:pPr>
              <w:pStyle w:val="859"/>
              <w:ind w:right="0" w:firstLine="709"/>
              <w:jc w:val="both"/>
              <w:spacing w:before="0" w:after="0" w:line="240" w:lineRule="auto"/>
              <w:widowControl w:val="off"/>
              <w:rPr>
                <w:rFonts w:ascii="Times New Roman" w:hAnsi="Times New Roman" w:eastAsia="Times New Roman" w:cs="Times New Roman"/>
                <w:color w:val="000000"/>
                <w:sz w:val="24"/>
                <w:szCs w:val="24"/>
                <w:shd w:val="clear" w:color="auto" w:fill="auto"/>
                <w:lang w:val="ru-RU" w:eastAsia="ru-RU" w:bidi="ar-SA"/>
              </w:rPr>
            </w:pPr>
            <w:r>
              <w:rPr>
                <w:rFonts w:ascii="Times New Roman" w:hAnsi="Times New Roman" w:eastAsia="Times New Roman" w:cs="Times New Roman"/>
                <w:color w:val="000000"/>
                <w:sz w:val="24"/>
                <w:szCs w:val="24"/>
                <w:shd w:val="clear" w:color="auto" w:fill="auto"/>
                <w:lang w:val="ru-RU" w:eastAsia="ru-RU" w:bidi="ar-SA"/>
              </w:rPr>
            </w:r>
            <w:r>
              <w:rPr>
                <w:rFonts w:ascii="Times New Roman" w:hAnsi="Times New Roman" w:eastAsia="Times New Roman" w:cs="Times New Roman"/>
                <w:color w:val="000000"/>
                <w:sz w:val="24"/>
                <w:szCs w:val="24"/>
                <w:shd w:val="clear" w:color="auto" w:fill="auto"/>
                <w:lang w:val="ru-RU" w:eastAsia="ru-RU" w:bidi="ar-SA"/>
              </w:rPr>
            </w:r>
            <w:r>
              <w:rPr>
                <w:rFonts w:ascii="Times New Roman" w:hAnsi="Times New Roman" w:eastAsia="Times New Roman" w:cs="Times New Roman"/>
                <w:color w:val="000000"/>
                <w:sz w:val="24"/>
                <w:szCs w:val="24"/>
                <w:shd w:val="clear" w:color="auto" w:fill="auto"/>
                <w:lang w:val="ru-RU" w:eastAsia="ru-RU" w:bidi="ar-SA"/>
              </w:rPr>
            </w:r>
          </w:p>
          <w:p>
            <w:pPr>
              <w:pStyle w:val="859"/>
              <w:ind w:right="0" w:firstLine="0"/>
              <w:jc w:val="both"/>
              <w:spacing w:before="0" w:after="0" w:line="240" w:lineRule="auto"/>
              <w:widowControl w:val="off"/>
              <w:rPr>
                <w:sz w:val="24"/>
                <w:szCs w:val="24"/>
              </w:rPr>
            </w:pPr>
            <w:r>
              <w:rPr>
                <w:rFonts w:ascii="Times New Roman" w:hAnsi="Times New Roman" w:eastAsia="Times New Roman" w:cs="Times New Roman"/>
                <w:color w:val="000000"/>
                <w:sz w:val="24"/>
                <w:szCs w:val="24"/>
                <w:shd w:val="clear" w:color="auto" w:fill="auto"/>
                <w:lang w:val="ru-RU" w:eastAsia="ru-RU" w:bidi="ar-SA"/>
              </w:rPr>
              <w:t xml:space="preserve">IV.</w:t>
            </w:r>
            <w:r>
              <w:rPr>
                <w:sz w:val="24"/>
                <w:szCs w:val="24"/>
              </w:rPr>
            </w:r>
            <w:r>
              <w:rPr>
                <w:sz w:val="24"/>
                <w:szCs w:val="24"/>
              </w:rPr>
            </w:r>
          </w:p>
          <w:p>
            <w:pPr>
              <w:pStyle w:val="859"/>
              <w:ind w:left="0" w:right="57" w:firstLine="737"/>
              <w:jc w:val="both"/>
              <w:spacing w:before="0" w:after="0" w:line="240" w:lineRule="auto"/>
              <w:widowControl w:val="off"/>
              <w:rPr>
                <w:sz w:val="24"/>
                <w:szCs w:val="24"/>
              </w:rPr>
            </w:pPr>
            <w:r>
              <w:rPr>
                <w:rFonts w:ascii="Times New Roman" w:hAnsi="Times New Roman" w:eastAsia="Times New Roman" w:cs="Times New Roman"/>
                <w:color w:val="000000"/>
                <w:sz w:val="24"/>
                <w:szCs w:val="24"/>
                <w:shd w:val="clear" w:color="auto" w:fill="auto"/>
                <w:lang w:val="ru-RU" w:eastAsia="ru-RU" w:bidi="ar-SA"/>
              </w:rPr>
              <w:t xml:space="preserve">В ходе проекта будут разработаны различ</w:t>
            </w:r>
            <w:r>
              <w:rPr>
                <w:rFonts w:ascii="Times New Roman" w:hAnsi="Times New Roman" w:eastAsia="Times New Roman" w:cs="Times New Roman"/>
                <w:color w:val="000000"/>
                <w:sz w:val="24"/>
                <w:szCs w:val="24"/>
                <w:shd w:val="clear" w:color="auto" w:fill="auto"/>
                <w:lang w:val="ru-RU" w:eastAsia="ru-RU" w:bidi="ar-SA"/>
              </w:rPr>
              <w:t xml:space="preserve">ные средства на основе природного бишофита для использования в стоматологической практике, в ЛОР-практике, в гинекологии и дерматовенерологии. Бальнеологические средства. Композиции для использования в реабилитационной медицине и в гериатрической практике.</w:t>
            </w:r>
            <w:r>
              <w:rPr>
                <w:sz w:val="24"/>
                <w:szCs w:val="24"/>
              </w:rPr>
            </w:r>
            <w:r>
              <w:rPr>
                <w:sz w:val="24"/>
                <w:szCs w:val="24"/>
              </w:rPr>
            </w:r>
          </w:p>
          <w:p>
            <w:pPr>
              <w:pStyle w:val="859"/>
              <w:ind w:left="0" w:right="57" w:firstLine="737"/>
              <w:jc w:val="both"/>
              <w:spacing w:before="0" w:after="0" w:line="240" w:lineRule="auto"/>
              <w:widowControl w:val="off"/>
              <w:rPr>
                <w:sz w:val="24"/>
                <w:szCs w:val="24"/>
              </w:rPr>
            </w:pPr>
            <w:r>
              <w:rPr>
                <w:rFonts w:ascii="Times New Roman" w:hAnsi="Times New Roman" w:eastAsia="Times New Roman" w:cs="Times New Roman"/>
                <w:color w:val="000000"/>
                <w:spacing w:val="0"/>
                <w:sz w:val="24"/>
                <w:szCs w:val="24"/>
                <w:shd w:val="clear" w:color="auto" w:fill="auto"/>
                <w:lang w:val="ru-RU" w:eastAsia="ru-RU" w:bidi="ar-SA"/>
              </w:rPr>
              <w:t xml:space="preserve">По результатам </w:t>
            </w:r>
            <w:r>
              <w:rPr>
                <w:rFonts w:ascii="Times New Roman" w:hAnsi="Times New Roman" w:eastAsia="Times New Roman" w:cs="Times New Roman"/>
                <w:color w:val="000000"/>
                <w:spacing w:val="0"/>
                <w:sz w:val="24"/>
                <w:szCs w:val="24"/>
                <w:shd w:val="clear" w:color="auto" w:fill="auto"/>
                <w:lang w:val="ru-RU" w:eastAsia="ru-RU" w:bidi="ar-SA"/>
              </w:rPr>
              <w:t xml:space="preserve">планируется оформить заявку на патент РФ, а также подать в печать не менее 1 статьи в журнал, входящий в список WOS, не менее 1 статьи в журнал из списка ВАК (Предполагаемые издания: Разработка и регистрация лекарственных средств, Фармация и фармакология).</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4.</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Маркетинговый потенциал реализации проекта (отразить стратегию маркетинга, описать политику в сбытовой деятельности, рекламную политику, реализуемые и (или) запланированные к реализации с целью продвижения проекта)</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859"/>
              <w:ind w:right="0" w:firstLine="0"/>
              <w:jc w:val="both"/>
              <w:spacing w:before="0" w:after="0" w:line="240" w:lineRule="auto"/>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sz w:val="24"/>
                <w:szCs w:val="24"/>
              </w:rPr>
            </w:pPr>
            <w:r>
              <w:rPr>
                <w:rFonts w:ascii="Times New Roman" w:hAnsi="Times New Roman" w:cs="Times New Roman"/>
                <w:b w:val="0"/>
                <w:bCs w:val="0"/>
                <w:spacing w:val="-5"/>
                <w:sz w:val="24"/>
                <w:szCs w:val="24"/>
                <w:lang w:eastAsia="en-GB"/>
              </w:rPr>
              <w:t xml:space="preserve">I. Не требуется дополнительных маркетинговых активностей</w:t>
            </w:r>
            <w:r>
              <w:rPr>
                <w:sz w:val="24"/>
                <w:szCs w:val="24"/>
              </w:rPr>
            </w:r>
            <w:r>
              <w:rPr>
                <w:sz w:val="24"/>
                <w:szCs w:val="24"/>
              </w:rPr>
            </w:r>
          </w:p>
          <w:p>
            <w:pPr>
              <w:pStyle w:val="859"/>
              <w:ind w:right="0" w:firstLine="709"/>
              <w:jc w:val="both"/>
              <w:spacing w:before="0" w:after="0" w:line="240" w:lineRule="auto"/>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Times New Roman" w:hAnsi="Times New Roman" w:cs="Times New Roman"/>
                <w:b w:val="0"/>
                <w:bCs w:val="0"/>
                <w:spacing w:val="-5"/>
                <w:sz w:val="24"/>
                <w:szCs w:val="24"/>
                <w:lang w:eastAsia="en-GB"/>
              </w:rPr>
            </w:pPr>
            <w:r>
              <w:rPr>
                <w:rFonts w:ascii="Times New Roman" w:hAnsi="Times New Roman" w:cs="Times New Roman"/>
                <w:b w:val="0"/>
                <w:bCs w:val="0"/>
                <w:spacing w:val="-5"/>
                <w:sz w:val="24"/>
                <w:szCs w:val="24"/>
                <w:lang w:eastAsia="en-GB"/>
              </w:rPr>
            </w:r>
            <w:r>
              <w:rPr>
                <w:rFonts w:ascii="Times New Roman" w:hAnsi="Times New Roman" w:cs="Times New Roman"/>
                <w:b w:val="0"/>
                <w:bCs w:val="0"/>
                <w:spacing w:val="-5"/>
                <w:sz w:val="24"/>
                <w:szCs w:val="24"/>
                <w:lang w:eastAsia="en-GB"/>
              </w:rPr>
            </w:r>
            <w:r>
              <w:rPr>
                <w:rFonts w:ascii="Times New Roman" w:hAnsi="Times New Roman" w:cs="Times New Roman"/>
                <w:b w:val="0"/>
                <w:bCs w:val="0"/>
                <w:spacing w:val="-5"/>
                <w:sz w:val="24"/>
                <w:szCs w:val="24"/>
                <w:lang w:eastAsia="en-GB"/>
              </w:rPr>
            </w:r>
          </w:p>
          <w:p>
            <w:pPr>
              <w:pStyle w:val="859"/>
              <w:ind w:right="0" w:firstLine="0"/>
              <w:jc w:val="both"/>
              <w:spacing w:before="0" w:after="0" w:line="240" w:lineRule="auto"/>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sz w:val="24"/>
                <w:szCs w:val="24"/>
              </w:rPr>
            </w:pPr>
            <w:r>
              <w:rPr>
                <w:rFonts w:ascii="Times New Roman" w:hAnsi="Times New Roman" w:cs="Times New Roman"/>
                <w:b w:val="0"/>
                <w:bCs w:val="0"/>
                <w:spacing w:val="-5"/>
                <w:sz w:val="24"/>
                <w:szCs w:val="24"/>
                <w:lang w:eastAsia="en-GB"/>
              </w:rPr>
              <w:t xml:space="preserve">II. Автоматизированная система будет использоваться комитетом здравоохранения Волгоградской области как основному заказчику данного продукта,</w:t>
            </w:r>
            <w:r>
              <w:rPr>
                <w:rFonts w:ascii="Times New Roman" w:hAnsi="Times New Roman" w:cs="Times New Roman"/>
                <w:b w:val="0"/>
                <w:bCs w:val="0"/>
                <w:spacing w:val="-5"/>
                <w:sz w:val="24"/>
                <w:szCs w:val="24"/>
                <w:lang w:eastAsia="en-GB"/>
              </w:rPr>
              <w:t xml:space="preserve"> что не требуется дополнительных маркетинговых активностей. Дополнительно, решение планируется реализовать в виде коробочного продукта (on-premise), что позволяет тиражировать его в другие регионы страны, обеспечивая масштабируемость и локальную адаптацию.</w:t>
            </w:r>
            <w:r>
              <w:rPr>
                <w:sz w:val="24"/>
                <w:szCs w:val="24"/>
              </w:rPr>
            </w:r>
            <w:r>
              <w:rPr>
                <w:sz w:val="24"/>
                <w:szCs w:val="24"/>
              </w:rPr>
            </w:r>
          </w:p>
          <w:p>
            <w:pPr>
              <w:pStyle w:val="859"/>
              <w:ind w:right="0" w:firstLine="709"/>
              <w:jc w:val="both"/>
              <w:spacing w:before="0" w:after="0" w:line="240" w:lineRule="auto"/>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Times New Roman" w:hAnsi="Times New Roman" w:cs="Times New Roman"/>
                <w:b w:val="0"/>
                <w:bCs w:val="0"/>
                <w:spacing w:val="-5"/>
                <w:sz w:val="24"/>
                <w:szCs w:val="24"/>
                <w:lang w:eastAsia="en-GB"/>
              </w:rPr>
            </w:pPr>
            <w:r>
              <w:rPr>
                <w:rFonts w:ascii="Times New Roman" w:hAnsi="Times New Roman" w:cs="Times New Roman"/>
                <w:b w:val="0"/>
                <w:bCs w:val="0"/>
                <w:spacing w:val="-5"/>
                <w:sz w:val="24"/>
                <w:szCs w:val="24"/>
                <w:lang w:eastAsia="en-GB"/>
              </w:rPr>
            </w:r>
            <w:r>
              <w:rPr>
                <w:rFonts w:ascii="Times New Roman" w:hAnsi="Times New Roman" w:cs="Times New Roman"/>
                <w:b w:val="0"/>
                <w:bCs w:val="0"/>
                <w:spacing w:val="-5"/>
                <w:sz w:val="24"/>
                <w:szCs w:val="24"/>
                <w:lang w:eastAsia="en-GB"/>
              </w:rPr>
            </w:r>
            <w:r>
              <w:rPr>
                <w:rFonts w:ascii="Times New Roman" w:hAnsi="Times New Roman" w:cs="Times New Roman"/>
                <w:b w:val="0"/>
                <w:bCs w:val="0"/>
                <w:spacing w:val="-5"/>
                <w:sz w:val="24"/>
                <w:szCs w:val="24"/>
                <w:lang w:eastAsia="en-GB"/>
              </w:rPr>
            </w:r>
          </w:p>
          <w:p>
            <w:pPr>
              <w:pStyle w:val="859"/>
              <w:ind w:right="0" w:firstLine="0"/>
              <w:jc w:val="both"/>
              <w:spacing w:before="0" w:after="0" w:line="240" w:lineRule="auto"/>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sz w:val="24"/>
                <w:szCs w:val="24"/>
              </w:rPr>
            </w:pPr>
            <w:r>
              <w:rPr>
                <w:rFonts w:ascii="Times New Roman" w:hAnsi="Times New Roman" w:cs="Times New Roman"/>
                <w:b w:val="0"/>
                <w:bCs w:val="0"/>
                <w:spacing w:val="-5"/>
                <w:sz w:val="24"/>
                <w:szCs w:val="24"/>
                <w:lang w:eastAsia="en-GB"/>
              </w:rPr>
              <w:t xml:space="preserve">III. Стратегия строится на продвижении научных разработок и конечного продукта, делая акцент на уникальных клинико-морфологических</w:t>
            </w:r>
            <w:r>
              <w:rPr>
                <w:rFonts w:ascii="Times New Roman" w:hAnsi="Times New Roman" w:cs="Times New Roman"/>
                <w:b w:val="0"/>
                <w:bCs w:val="0"/>
                <w:spacing w:val="-5"/>
                <w:sz w:val="24"/>
                <w:szCs w:val="24"/>
                <w:lang w:eastAsia="en-GB"/>
              </w:rPr>
              <w:t xml:space="preserve"> особенностях хронических воспалительных заболеваний желудочно-кишечного тракта Волгоградской области и доказанной эффективности создаваемых на их основе алгоритмов предикции (и последующей превенции). Ключевыми элементами маркетинговой стратегии являются:</w:t>
            </w:r>
            <w:r>
              <w:rPr>
                <w:sz w:val="24"/>
                <w:szCs w:val="24"/>
              </w:rPr>
            </w:r>
            <w:r>
              <w:rPr>
                <w:sz w:val="24"/>
                <w:szCs w:val="24"/>
              </w:rPr>
            </w:r>
          </w:p>
          <w:p>
            <w:pPr>
              <w:pStyle w:val="859"/>
              <w:numPr>
                <w:ilvl w:val="0"/>
                <w:numId w:val="2"/>
              </w:numPr>
              <w:jc w:val="both"/>
              <w:spacing w:before="0" w:after="0" w:line="240" w:lineRule="auto"/>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sz w:val="24"/>
                <w:szCs w:val="24"/>
              </w:rPr>
            </w:pPr>
            <w:r>
              <w:rPr>
                <w:rFonts w:ascii="Times New Roman" w:hAnsi="Times New Roman" w:eastAsia="Times New Roman" w:cs="Times New Roman"/>
                <w:b w:val="0"/>
                <w:bCs w:val="0"/>
                <w:color w:val="auto"/>
                <w:spacing w:val="-5"/>
                <w:sz w:val="24"/>
                <w:szCs w:val="24"/>
                <w:lang w:val="ru-RU" w:eastAsia="en-GB" w:bidi="ar-SA"/>
              </w:rPr>
              <w:t xml:space="preserve">Позиц</w:t>
            </w:r>
            <w:r>
              <w:rPr>
                <w:rFonts w:ascii="Times New Roman" w:hAnsi="Times New Roman" w:eastAsia="Times New Roman" w:cs="Times New Roman"/>
                <w:b w:val="0"/>
                <w:bCs w:val="0"/>
                <w:color w:val="auto"/>
                <w:spacing w:val="-5"/>
                <w:sz w:val="24"/>
                <w:szCs w:val="24"/>
                <w:lang w:val="ru-RU" w:eastAsia="en-GB" w:bidi="ar-SA"/>
              </w:rPr>
              <w:t xml:space="preserve">ионирование продукта (уникальная региональная клинико-морфологическая синергия, базисом которой являются международные, признанные мировым и российским медицинским сообществом классификации и рекомендации, научно-практические разработки российских ученых).</w:t>
            </w:r>
            <w:r>
              <w:rPr>
                <w:sz w:val="24"/>
                <w:szCs w:val="24"/>
              </w:rPr>
            </w:r>
            <w:r>
              <w:rPr>
                <w:sz w:val="24"/>
                <w:szCs w:val="24"/>
              </w:rPr>
            </w:r>
          </w:p>
          <w:p>
            <w:pPr>
              <w:pStyle w:val="859"/>
              <w:numPr>
                <w:ilvl w:val="0"/>
                <w:numId w:val="2"/>
              </w:numPr>
              <w:jc w:val="both"/>
              <w:spacing w:before="0" w:after="0" w:line="240" w:lineRule="auto"/>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sz w:val="24"/>
                <w:szCs w:val="24"/>
              </w:rPr>
            </w:pPr>
            <w:r>
              <w:rPr>
                <w:rFonts w:ascii="Times New Roman" w:hAnsi="Times New Roman" w:eastAsia="Times New Roman" w:cs="Times New Roman"/>
                <w:b w:val="0"/>
                <w:bCs w:val="0"/>
                <w:color w:val="auto"/>
                <w:spacing w:val="-5"/>
                <w:sz w:val="24"/>
                <w:szCs w:val="24"/>
                <w:lang w:val="ru-RU" w:eastAsia="en-GB" w:bidi="ar-SA"/>
              </w:rPr>
              <w:t xml:space="preserve">Акцент на предикции и последующей превенции.</w:t>
            </w:r>
            <w:r>
              <w:rPr>
                <w:sz w:val="24"/>
                <w:szCs w:val="24"/>
              </w:rPr>
            </w:r>
            <w:r>
              <w:rPr>
                <w:sz w:val="24"/>
                <w:szCs w:val="24"/>
              </w:rPr>
            </w:r>
          </w:p>
          <w:p>
            <w:pPr>
              <w:pStyle w:val="859"/>
              <w:numPr>
                <w:ilvl w:val="0"/>
                <w:numId w:val="2"/>
              </w:numPr>
              <w:jc w:val="both"/>
              <w:spacing w:before="0" w:after="0" w:line="240" w:lineRule="auto"/>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sz w:val="24"/>
                <w:szCs w:val="24"/>
              </w:rPr>
            </w:pPr>
            <w:r>
              <w:rPr>
                <w:rFonts w:ascii="Times New Roman" w:hAnsi="Times New Roman" w:eastAsia="Times New Roman" w:cs="Times New Roman"/>
                <w:b w:val="0"/>
                <w:bCs w:val="0"/>
                <w:color w:val="auto"/>
                <w:spacing w:val="-5"/>
                <w:sz w:val="24"/>
                <w:szCs w:val="24"/>
                <w:lang w:val="ru-RU" w:eastAsia="en-GB" w:bidi="ar-SA"/>
              </w:rPr>
              <w:t xml:space="preserve">Целевая аудитория - медицинские организации Волгоградской области и Российской Федерации, осуществляющие медицинскую деятельность по терапии, гастроэнтерологии, патологической анатомии, профилактической медицине.</w:t>
            </w:r>
            <w:r>
              <w:rPr>
                <w:sz w:val="24"/>
                <w:szCs w:val="24"/>
              </w:rPr>
            </w:r>
            <w:r>
              <w:rPr>
                <w:sz w:val="24"/>
                <w:szCs w:val="24"/>
              </w:rPr>
            </w:r>
          </w:p>
          <w:p>
            <w:pPr>
              <w:pStyle w:val="859"/>
              <w:numPr>
                <w:ilvl w:val="0"/>
                <w:numId w:val="2"/>
              </w:numPr>
              <w:jc w:val="both"/>
              <w:spacing w:before="0" w:after="0" w:line="240" w:lineRule="auto"/>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ascii="Times New Roman" w:hAnsi="Times New Roman" w:eastAsia="Times New Roman" w:cs="Times New Roman"/>
                <w:b w:val="0"/>
                <w:bCs w:val="0"/>
                <w:color w:val="auto"/>
                <w:spacing w:val="-5"/>
                <w:sz w:val="24"/>
                <w:szCs w:val="24"/>
                <w:lang w:val="ru-RU" w:eastAsia="en-GB" w:bidi="ar-SA"/>
              </w:rPr>
              <w:t xml:space="preserve">Стратегия выхода на рынки Волгоградской области: Акцент на дифференциацию продукта. Адаптация продукта под потребности конкретного региона, включая учет молекулярно-генетических особенностей.</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sz w:val="24"/>
                <w:szCs w:val="24"/>
              </w:rPr>
            </w:pPr>
            <w:r>
              <w:rPr>
                <w:sz w:val="24"/>
                <w:szCs w:val="24"/>
              </w:rPr>
            </w:r>
            <w:r>
              <w:rPr>
                <w:sz w:val="24"/>
                <w:szCs w:val="24"/>
              </w:rPr>
            </w:r>
            <w:r>
              <w:rPr>
                <w:sz w:val="24"/>
                <w:szCs w:val="24"/>
              </w:rP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b w:val="0"/>
                <w:bCs w:val="0"/>
                <w:spacing w:val="-5"/>
                <w:sz w:val="24"/>
                <w:szCs w:val="24"/>
              </w:rPr>
              <w:t xml:space="preserve">IV.</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Стратегия нацелена на охват большого сегм</w:t>
            </w:r>
            <w:r>
              <w:rPr>
                <w:rStyle w:val="880"/>
                <w:rFonts w:eastAsia="Times New Roman" w:cs="Times New Roman"/>
                <w:b w:val="0"/>
                <w:bCs w:val="0"/>
                <w:color w:val="auto"/>
                <w:spacing w:val="-5"/>
                <w:sz w:val="24"/>
                <w:szCs w:val="24"/>
                <w:lang w:val="ru-RU" w:eastAsia="en-GB" w:bidi="ar-SA"/>
              </w:rPr>
              <w:t xml:space="preserve">ента населения и медицинских учреждений Волгоградской области, что позволит проекту занять прочные позиции на местном рынке и подготовить почву для дальнейшего регионального и национального расширения. Ключевыми элементами маркетинговой стратегии являются:</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1. Позиционирование продукта (уни</w:t>
            </w:r>
            <w:r>
              <w:rPr>
                <w:rStyle w:val="880"/>
                <w:rFonts w:eastAsia="Times New Roman" w:cs="Times New Roman"/>
                <w:b w:val="0"/>
                <w:bCs w:val="0"/>
                <w:color w:val="auto"/>
                <w:spacing w:val="-5"/>
                <w:sz w:val="24"/>
                <w:szCs w:val="24"/>
                <w:lang w:val="ru-RU" w:eastAsia="en-GB" w:bidi="ar-SA"/>
              </w:rPr>
              <w:t xml:space="preserve">кальная региональная клинико-фармакологическая синергия, базисом которой являются международные, признанные мировым и российским медицинским сообществом классификации и рекомендации, научно-практические разработки российских ученых, включая и специалистов </w:t>
            </w:r>
            <w:r>
              <w:rPr>
                <w:rStyle w:val="880"/>
                <w:rFonts w:eastAsia="Times New Roman" w:cs="Times New Roman"/>
                <w:b w:val="0"/>
                <w:bCs w:val="0"/>
                <w:color w:val="auto"/>
                <w:spacing w:val="-5"/>
                <w:sz w:val="24"/>
                <w:szCs w:val="24"/>
                <w:lang w:val="ru-RU" w:eastAsia="ru-RU" w:bidi="ar-SA"/>
              </w:rPr>
              <w:t xml:space="preserve">ФГБОУ ВО ВолгГМУ Минздрава России</w:t>
            </w:r>
            <w:r>
              <w:rPr>
                <w:rStyle w:val="880"/>
                <w:rFonts w:eastAsia="Times New Roman" w:cs="Times New Roman"/>
                <w:b w:val="0"/>
                <w:bCs w:val="0"/>
                <w:color w:val="auto"/>
                <w:spacing w:val="-5"/>
                <w:sz w:val="24"/>
                <w:szCs w:val="24"/>
                <w:lang w:val="ru-RU" w:eastAsia="en-GB" w:bidi="ar-SA"/>
              </w:rPr>
              <w:t xml:space="preserve">).</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2. Целевая аудитория - медицинские организации Волгоградской области и Российской Федерации, осуществляющие медицинскую деятельность по дерматологии, оториноларингологии, гинекологии, гериатрии, реабилитационной и профилактической медицине.</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3. Каналы распространения:</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методические рекомендации по клинико-морфологической диагностике этиологических факторов и маркеров прогрессирования воспалительных заболеваний ЖКТ;</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сотрудничество с медицинскими организациями, осуществляющими медицинскую деятельность по дерматологии, оториноларингологии, гинекологии, гериатрии, реабилитационной и профилактической медицине.</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5. Реклама и PR:</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Участие в выставках и конференциях, организованных профессиональными сообществами.</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Публикации статей в СМИ, освещающих научные достижения и клинические успехи проекта.</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Использование социальных сетей и блогеров, специализирующихся на профилактической медицине для популяризации продукта среди широкой аудитории.</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Стратегия выхода на рынки Волгоградской области</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1. Местные мероприятия и выставки.</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2. Размещение рекламы в местной прессе, радио и телевидении, социальных сетях, мессенджерах.</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3. Работа с региональными инфлюенсерами и лидерами мнений в медицинской и иных сферах.</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4. Мониторинг и обратная связь:</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Постоянный сбор обратной связи от медицинских организаций, участвующих в работе с проектом для улучшения качества продукта и его дальнейшего использования и обслуживания.</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Он-лайн анализ региональной инф</w:t>
            </w:r>
            <w:r>
              <w:rPr>
                <w:rStyle w:val="880"/>
                <w:rFonts w:eastAsia="Times New Roman" w:cs="Times New Roman"/>
                <w:b w:val="0"/>
                <w:bCs w:val="0"/>
                <w:color w:val="auto"/>
                <w:spacing w:val="-5"/>
                <w:sz w:val="24"/>
                <w:szCs w:val="24"/>
                <w:lang w:val="ru-RU" w:eastAsia="en-GB" w:bidi="ar-SA"/>
              </w:rPr>
              <w:t xml:space="preserve">ормационной базы данных пациентов для прогнозирования персонифицированного риска с целью улучшения ее работы. Проведение регулярных опросов и анкетирования медицинских работников и пациентов для отслеживания потребительских настроений в работе с продуктом.</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5. Планы на расширение:</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Определение потенциала роста и планов по выходу на соседние регионы.</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Планирование инвестиций в развитие инфраструктуры и наращивание объёмов производства.</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Продвижение через образование (включение курса лекций и семинаров в образовательные программы дополнительного профессионального образования).</w:t>
            </w:r>
            <w:r/>
          </w:p>
          <w:p>
            <w:pPr>
              <w:pStyle w:val="934"/>
              <w:jc w:val="both"/>
              <w:spacing w:before="0" w:after="0"/>
              <w:widowControl w:val="off"/>
              <w:tabs>
                <w:tab w:val="clear" w:pos="708"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
              <w:rPr>
                <w:rStyle w:val="880"/>
                <w:rFonts w:eastAsia="Times New Roman" w:cs="Times New Roman"/>
                <w:b w:val="0"/>
                <w:bCs w:val="0"/>
                <w:color w:val="auto"/>
                <w:spacing w:val="-5"/>
                <w:sz w:val="24"/>
                <w:szCs w:val="24"/>
                <w:lang w:val="ru-RU" w:eastAsia="en-GB" w:bidi="ar-SA"/>
              </w:rPr>
              <w:t xml:space="preserve">◦ </w:t>
            </w:r>
            <w:r>
              <w:rPr>
                <w:rStyle w:val="880"/>
                <w:rFonts w:eastAsia="Times New Roman" w:cs="Times New Roman"/>
                <w:b w:val="0"/>
                <w:bCs w:val="0"/>
                <w:color w:val="auto"/>
                <w:spacing w:val="-5"/>
                <w:sz w:val="24"/>
                <w:szCs w:val="24"/>
                <w:lang w:val="ru-RU" w:eastAsia="en-GB" w:bidi="ar-SA"/>
              </w:rPr>
              <w:t xml:space="preserve">Сотрудничество с профильными кафедрами.</w:t>
            </w: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5.</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Материально-техническая</w:t>
            </w:r>
            <w:r>
              <w:rPr>
                <w:rFonts w:ascii="Times New Roman" w:hAnsi="Times New Roman" w:cs="Times New Roman"/>
                <w:sz w:val="24"/>
                <w:szCs w:val="24"/>
              </w:rPr>
              <w:t xml:space="preserve"> база, имеющаяся в распоряжении руководителя проекта и (или) необходимая для реализации проекта (перечислить современные и дорогостоящие установки и приборы с обязательным указанием основных видов работ, проводимых с использованием названного оборудования)</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I.</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Для реализации п</w:t>
            </w:r>
            <w:r>
              <w:rPr>
                <w:rFonts w:ascii="Times New Roman" w:hAnsi="Times New Roman" w:cs="Times New Roman"/>
                <w:sz w:val="24"/>
                <w:szCs w:val="24"/>
                <w:lang w:eastAsia="ru-RU"/>
              </w:rPr>
              <w:t xml:space="preserve">роекта имеется серверная инфраструктура, построенная на базе технологий виртуализации. Этот сервер обладает достаточной вычислительной мощностью и гибкостью для выполнения широкого спектра задач в рамках разработки и тестирования автоматизированной системы</w:t>
            </w:r>
            <w:r>
              <w:rPr>
                <w:sz w:val="24"/>
                <w:szCs w:val="24"/>
              </w:rPr>
            </w:r>
            <w:r>
              <w:rPr>
                <w:sz w:val="24"/>
                <w:szCs w:val="24"/>
              </w:rPr>
            </w:r>
          </w:p>
          <w:p>
            <w:pPr>
              <w:pStyle w:val="859"/>
              <w:ind w:right="0" w:firstLine="0"/>
              <w:jc w:val="both"/>
              <w:spacing w:before="0" w:after="0" w:line="240" w:lineRule="auto"/>
              <w:widowControl w:val="off"/>
              <w:rPr>
                <w:sz w:val="24"/>
                <w:szCs w:val="24"/>
              </w:rPr>
            </w:pPr>
            <w:r>
              <w:rPr>
                <w:sz w:val="24"/>
                <w:szCs w:val="24"/>
              </w:rPr>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II.</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Для реализации пр</w:t>
            </w:r>
            <w:r>
              <w:rPr>
                <w:rFonts w:ascii="Times New Roman" w:hAnsi="Times New Roman" w:cs="Times New Roman"/>
                <w:sz w:val="24"/>
                <w:szCs w:val="24"/>
                <w:lang w:eastAsia="ru-RU"/>
              </w:rPr>
              <w:t xml:space="preserve">оекта имеется серверная инфраструктура, построенная на базе технологий виртуализации. Этот сервер обладает достаточной вычислительной мощностью и гибкостью для выполнения широкого спектра задач в рамках разработки и тестирования автоматизированной системы.</w:t>
            </w:r>
            <w:r>
              <w:rPr>
                <w:sz w:val="24"/>
                <w:szCs w:val="24"/>
              </w:rPr>
            </w:r>
            <w:r>
              <w:rPr>
                <w:sz w:val="24"/>
                <w:szCs w:val="24"/>
              </w:rPr>
            </w:r>
          </w:p>
          <w:p>
            <w:pPr>
              <w:pStyle w:val="859"/>
              <w:ind w:right="0" w:firstLine="0"/>
              <w:jc w:val="both"/>
              <w:spacing w:before="0" w:after="0" w:line="240" w:lineRule="auto"/>
              <w:widowControl w:val="off"/>
              <w:rPr>
                <w:sz w:val="24"/>
                <w:szCs w:val="24"/>
              </w:rPr>
            </w:pPr>
            <w:r>
              <w:rPr>
                <w:sz w:val="24"/>
                <w:szCs w:val="24"/>
              </w:rPr>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III.</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Для реализации проекта имеется следующее оборудование:</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1. Микротом ротационный HM 340E (Carl Zeiss Microscopy GmbH, Germany) – изготовление микропрепаратов.</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2. Микроскоп (светлое поле, люминесценция, фазовый контраст), AxioImager.A2 (Carl Zeiss, Германия), камера высокого разрешения Cool Cube 1 «MetaSystems» (Германия), блоки светофильтров Chroma (США) – для иммунофлуоресцентных исследований.</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3. Программное обеспечение Isis и Ikaros «MetaSystems» (Германия) – для иммунофлуоресцентных и морфометрических исследований.</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4. Программное обеспечение ZEN 1.1.2.0 с модулем Image Analysis (Carl Zeiss Microscopy GmbH, Germany) - для морфометрических исследований.</w:t>
            </w:r>
            <w:r>
              <w:rPr>
                <w:sz w:val="24"/>
                <w:szCs w:val="24"/>
              </w:rPr>
            </w:r>
            <w:r>
              <w:rPr>
                <w:sz w:val="24"/>
                <w:szCs w:val="24"/>
              </w:rPr>
            </w:r>
          </w:p>
          <w:p>
            <w:pPr>
              <w:pStyle w:val="859"/>
              <w:ind w:right="0" w:firstLine="0"/>
              <w:jc w:val="both"/>
              <w:spacing w:before="0" w:after="0" w:line="240" w:lineRule="auto"/>
              <w:widowControl w:val="off"/>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IV.</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Для проведения морфологического, биохимического исследования обеспечены следующим оборудованием:</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 Микропланшетный ридер для биохимических наборов</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 Спектрофотометр ПЭ-5400ВИ (Экохим, Россия)</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 Медицинские инструменты для вскрытия животных – ножницы, скальпели, пинцеты (Россия).</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 секундомер СОСпр-2а-2-010 (Россия)</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 автолаборант Leica TP1020 (ФРГ)</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 Микротом ротационный Thermo Scientific HM340E (Thermo Fisher Scientific, ФРГ).</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 микроскоп LEICA DM 750 (ФРГ)</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 Программное обеспечение Isis «Meta Systems» (Германия).</w:t>
            </w:r>
            <w:r>
              <w:rPr>
                <w:sz w:val="24"/>
                <w:szCs w:val="24"/>
              </w:rPr>
            </w:r>
            <w:r>
              <w:rPr>
                <w:sz w:val="24"/>
                <w:szCs w:val="24"/>
              </w:rPr>
            </w:r>
          </w:p>
          <w:p>
            <w:pPr>
              <w:pStyle w:val="859"/>
              <w:ind w:right="0" w:firstLine="0"/>
              <w:jc w:val="both"/>
              <w:spacing w:before="0" w:after="0" w:line="240" w:lineRule="auto"/>
              <w:widowControl w:val="off"/>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Вспомогательное оборудование и материалы:</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 весы лабораторные «ВЛТЭ-1100Т» («Госметр», Россия)</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 весы «Ohaus Explorer EX223» (ФРГ)</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 дозаторы лабораторные «Экохим» серии ОП-1 (Экохим, Россия)</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 Центрифуга Elmi СМ-6М («ELMI Ltd», Латвия)</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 Химическая и лабораторная посуда - флаконы, пробирки, мерные цилиндры, химические стаканы (ООО</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«ПромСпецМеханика», Россия).</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 Атравматические металлические зонды (Производитель Instech Laboratories, Inc., USA; поставщик ООО «НПК Открытая</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наука», Россия).</w:t>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 морозильная камера МЛК700 «Снеж» (Россия)</w:t>
            </w:r>
            <w:r>
              <w:rPr>
                <w:sz w:val="24"/>
                <w:szCs w:val="24"/>
              </w:rPr>
            </w:r>
            <w:r>
              <w:rPr>
                <w:sz w:val="24"/>
                <w:szCs w:val="24"/>
              </w:rPr>
            </w:r>
          </w:p>
          <w:p>
            <w:pPr>
              <w:pStyle w:val="859"/>
              <w:ind w:right="0" w:firstLine="0"/>
              <w:jc w:val="both"/>
              <w:spacing w:before="0" w:after="0" w:line="240" w:lineRule="auto"/>
              <w:widowControl w:val="off"/>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rPr>
              <w:t xml:space="preserve">Оборудование имеет паспорта соответствия и регулярно проходит поверку/аттестацию.</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6.</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Имеющееся и (или) запланированное софинансирование со стороны юридического лица, представившего проект на конкурс</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918"/>
              <w:widowControl w:val="off"/>
              <w:rPr>
                <w:sz w:val="24"/>
                <w:szCs w:val="24"/>
              </w:rPr>
            </w:pPr>
            <w:r>
              <w:rPr>
                <w:rFonts w:ascii="Times New Roman" w:hAnsi="Times New Roman" w:cs="Times New Roman"/>
                <w:sz w:val="24"/>
                <w:szCs w:val="24"/>
              </w:rPr>
              <w:t xml:space="preserve">-</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7.</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Квалификация руководителя и исполнителей проекта</w:t>
            </w:r>
            <w:r>
              <w:rPr>
                <w:sz w:val="24"/>
                <w:szCs w:val="24"/>
              </w:rPr>
            </w:r>
            <w:r>
              <w:rPr>
                <w:sz w:val="24"/>
                <w:szCs w:val="24"/>
              </w:rPr>
            </w:r>
          </w:p>
        </w:tc>
      </w:tr>
      <w:tr>
        <w:tblPrEx/>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I.</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Руководитель проекта: Шкарин В.В., д.м.н., профессор, заведующий кафедрой общественного здоровья и здравоохранения Института НМФО.</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Исполнители:</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1. Бушенева С.Н., к.м.н, проректор по стратегическому развитию;</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2. Зубков А.В., к.т.н.,  начальник УИР;</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3. Аджиенко В.Л., д.м.н., профессор, заведующий кафедрой общественного здоровья и здравоохранения Института общественного здоровья имени Н.П.Григоренко.</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4. Дьяченко Т.С., к.м.н., доцент, доцент кафедры общественного здоровья и здравоохранения Института общественного здоровья имени Н.П.Григоренко;</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5. Девляшова О.Ф., к.м.н., доцент кафедры общественного здоровья и здравоохранения Института общественного здоровья имени Н.П.Григоренко.</w:t>
            </w:r>
            <w:r>
              <w:rPr>
                <w:sz w:val="24"/>
                <w:szCs w:val="24"/>
              </w:rPr>
            </w:r>
            <w:r>
              <w:rPr>
                <w:sz w:val="24"/>
                <w:szCs w:val="24"/>
              </w:rPr>
            </w:r>
          </w:p>
          <w:p>
            <w:pPr>
              <w:pStyle w:val="859"/>
              <w:jc w:val="both"/>
              <w:spacing w:before="0" w:after="0" w:line="240" w:lineRule="auto"/>
              <w:widowControl w:val="off"/>
              <w:rPr>
                <w:rFonts w:ascii="Times New Roman" w:hAnsi="Times New Roman" w:cs="Times New Roman"/>
                <w:b w:val="0"/>
                <w:bCs w:val="0"/>
                <w:sz w:val="24"/>
                <w:szCs w:val="24"/>
                <w:lang w:eastAsia="ru-RU"/>
              </w:rPr>
            </w:pPr>
            <w:r>
              <w:rPr>
                <w:rFonts w:ascii="Times New Roman" w:hAnsi="Times New Roman" w:cs="Times New Roman"/>
                <w:b w:val="0"/>
                <w:bCs w:val="0"/>
                <w:sz w:val="24"/>
                <w:szCs w:val="24"/>
                <w:lang w:eastAsia="ru-RU"/>
              </w:rPr>
            </w:r>
            <w:r>
              <w:rPr>
                <w:rFonts w:ascii="Times New Roman" w:hAnsi="Times New Roman" w:cs="Times New Roman"/>
                <w:b w:val="0"/>
                <w:bCs w:val="0"/>
                <w:sz w:val="24"/>
                <w:szCs w:val="24"/>
                <w:lang w:eastAsia="ru-RU"/>
              </w:rPr>
            </w:r>
            <w:r>
              <w:rPr>
                <w:rFonts w:ascii="Times New Roman" w:hAnsi="Times New Roman" w:cs="Times New Roman"/>
                <w:b w:val="0"/>
                <w:bCs w:val="0"/>
                <w:sz w:val="24"/>
                <w:szCs w:val="24"/>
                <w:lang w:eastAsia="ru-RU"/>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II.</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Руководитель проекта: Шкарин В.В., д.м.н., профессор, заведующий кафедрой общественного здоровья и здравоохранения Института НМФО.</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Исполнители:</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1. Бушенева С.Н., к.м.н, проректор по стратегическому развитию;</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2. Орлова Ю.А. д.т.н., заведующий кафедрой «Программное обеспечение автоматизированных систем» ВолгГТУ;</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3. Зубков А.В., к.т.н.,  начальник УИР;</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4. Барканова О.Н., д.м.н., профессор, проректор по развитию регионального здравоохранения;</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5. Каминская И.А., к.м.н., доцент кафедры фармакологии, клинической фармакологии и фармации ИНМФО;</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6. Панин С.И., д.м.н., доцент, заведующий кафедрой общей хирургии;</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7. Долецкий А.Н.  д.м.н., доцент, профессор кафедры нормальной физиологии.</w:t>
            </w:r>
            <w:r>
              <w:rPr>
                <w:sz w:val="24"/>
                <w:szCs w:val="24"/>
              </w:rPr>
            </w:r>
            <w:r>
              <w:rPr>
                <w:sz w:val="24"/>
                <w:szCs w:val="24"/>
              </w:rPr>
            </w:r>
          </w:p>
          <w:p>
            <w:pPr>
              <w:pStyle w:val="859"/>
              <w:jc w:val="both"/>
              <w:spacing w:before="0" w:after="0" w:line="240" w:lineRule="auto"/>
              <w:widowControl w:val="off"/>
              <w:rPr>
                <w:rFonts w:ascii="Times New Roman" w:hAnsi="Times New Roman" w:cs="Times New Roman"/>
                <w:b w:val="0"/>
                <w:bCs w:val="0"/>
                <w:sz w:val="24"/>
                <w:szCs w:val="24"/>
                <w:lang w:eastAsia="ru-RU"/>
              </w:rPr>
            </w:pPr>
            <w:r>
              <w:rPr>
                <w:rFonts w:ascii="Times New Roman" w:hAnsi="Times New Roman" w:cs="Times New Roman"/>
                <w:b w:val="0"/>
                <w:bCs w:val="0"/>
                <w:sz w:val="24"/>
                <w:szCs w:val="24"/>
                <w:lang w:eastAsia="ru-RU"/>
              </w:rPr>
            </w:r>
            <w:r>
              <w:rPr>
                <w:rFonts w:ascii="Times New Roman" w:hAnsi="Times New Roman" w:cs="Times New Roman"/>
                <w:b w:val="0"/>
                <w:bCs w:val="0"/>
                <w:sz w:val="24"/>
                <w:szCs w:val="24"/>
                <w:lang w:eastAsia="ru-RU"/>
              </w:rPr>
            </w:r>
            <w:r>
              <w:rPr>
                <w:rFonts w:ascii="Times New Roman" w:hAnsi="Times New Roman" w:cs="Times New Roman"/>
                <w:b w:val="0"/>
                <w:bCs w:val="0"/>
                <w:sz w:val="24"/>
                <w:szCs w:val="24"/>
                <w:lang w:eastAsia="ru-RU"/>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III.</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Руководитель проекта: Снигур Г.Л., д.м.н., доцент, заведующий кафедрой биологии, врач-патологоанатом.</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Исполнители проекта:</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1. Экова М.Р., к.м.н., доцент кафедры патологической анатомии.</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2. Голуб Б.В., заведующий лабораторией прижизненных патологоанатомических исследований ООО «ВолгаМедлаб», врач-патологоанатом.</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3. Павловская Н.Е., лаборант кафедры биологии.</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4. Киреева Л.В., лаборант кафедры патологической анатомии.</w:t>
            </w:r>
            <w:r>
              <w:rPr>
                <w:sz w:val="24"/>
                <w:szCs w:val="24"/>
              </w:rPr>
            </w:r>
            <w:r>
              <w:rPr>
                <w:sz w:val="24"/>
                <w:szCs w:val="24"/>
              </w:rPr>
            </w:r>
          </w:p>
          <w:p>
            <w:pPr>
              <w:pStyle w:val="859"/>
              <w:jc w:val="both"/>
              <w:spacing w:before="0" w:after="0" w:line="240" w:lineRule="auto"/>
              <w:widowControl w:val="off"/>
              <w:rPr>
                <w:rFonts w:ascii="Times New Roman" w:hAnsi="Times New Roman" w:cs="Times New Roman"/>
                <w:b w:val="0"/>
                <w:bCs w:val="0"/>
                <w:sz w:val="24"/>
                <w:szCs w:val="24"/>
                <w:lang w:eastAsia="ru-RU"/>
              </w:rPr>
            </w:pPr>
            <w:r>
              <w:rPr>
                <w:rFonts w:ascii="Times New Roman" w:hAnsi="Times New Roman" w:cs="Times New Roman"/>
                <w:b w:val="0"/>
                <w:bCs w:val="0"/>
                <w:sz w:val="24"/>
                <w:szCs w:val="24"/>
                <w:lang w:eastAsia="ru-RU"/>
              </w:rPr>
            </w:r>
            <w:r>
              <w:rPr>
                <w:rFonts w:ascii="Times New Roman" w:hAnsi="Times New Roman" w:cs="Times New Roman"/>
                <w:b w:val="0"/>
                <w:bCs w:val="0"/>
                <w:sz w:val="24"/>
                <w:szCs w:val="24"/>
                <w:lang w:eastAsia="ru-RU"/>
              </w:rPr>
            </w:r>
            <w:r>
              <w:rPr>
                <w:rFonts w:ascii="Times New Roman" w:hAnsi="Times New Roman" w:cs="Times New Roman"/>
                <w:b w:val="0"/>
                <w:bCs w:val="0"/>
                <w:sz w:val="24"/>
                <w:szCs w:val="24"/>
                <w:lang w:eastAsia="ru-RU"/>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IV.</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Руководитель проекта: Сиротенко В.С. – д.фарм.н., доцент, заведующий кафедрой организации фармацевтичсекого дела, фармацевтической технологии и биотехнологии</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Исполнители проекта:</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1. Спасов А.А. – академик РАН, З.д.н. РФ, д.м.н., профессор, заведующий кафедрой фармакологии и биоинформатики.</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2. Перфилова В.Н. – д.б.н., профессор, профессор кафедры фармакологии и фармации ИНМФО.</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3. Озеров А.А. – д.х.н., профессор, заведующий кафедрой фармацевтической и токсикологической химии, фармакогнозии и ботаники.</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4. Зайцева Е.В. – ассистент кафедры организации фармацевтичсекого дела, фармацевтической технологии и биотехнологии.</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5. Аджиенко В.В. – ассистент кафедры организации фармацевтичсекого дела, фармацевтической технологии и биотехнологии.</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6. Зодоров Р.И. – ассистент кафедры организации фармацевтичсекого дела, фармацевтической технологии и биотехнологии.</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7. Денисова Т.Д. – с.н.с. лаборатории токсикологии НЦИЛС ВолгГМУ.</w:t>
            </w:r>
            <w:r>
              <w:rPr>
                <w:sz w:val="24"/>
                <w:szCs w:val="24"/>
              </w:rPr>
            </w:r>
            <w:r>
              <w:rPr>
                <w:sz w:val="24"/>
                <w:szCs w:val="24"/>
              </w:rPr>
            </w:r>
          </w:p>
          <w:p>
            <w:pPr>
              <w:pStyle w:val="859"/>
              <w:jc w:val="both"/>
              <w:spacing w:before="0" w:after="0" w:line="240" w:lineRule="auto"/>
              <w:widowControl w:val="off"/>
              <w:rPr>
                <w:sz w:val="24"/>
                <w:szCs w:val="24"/>
              </w:rPr>
            </w:pPr>
            <w:r>
              <w:rPr>
                <w:rFonts w:ascii="Times New Roman" w:hAnsi="Times New Roman" w:cs="Times New Roman"/>
                <w:b w:val="0"/>
                <w:bCs w:val="0"/>
                <w:sz w:val="24"/>
                <w:szCs w:val="24"/>
                <w:lang w:eastAsia="ru-RU"/>
              </w:rPr>
              <w:t xml:space="preserve">8. Лебедева С.А. – с.н.с. лаборатории токсикологии НЦИЛС ВолгГМУ.</w:t>
            </w:r>
            <w:r>
              <w:rPr>
                <w:sz w:val="24"/>
                <w:szCs w:val="24"/>
              </w:rPr>
            </w:r>
            <w:r>
              <w:rPr>
                <w:sz w:val="24"/>
                <w:szCs w:val="24"/>
              </w:rPr>
            </w:r>
          </w:p>
        </w:tc>
      </w:tr>
      <w:tr>
        <w:tblPrEx/>
        <w:trPr/>
        <w:tc>
          <w:tcPr>
            <w:tcBorders>
              <w:top w:val="single" w:color="000000" w:sz="4" w:space="0"/>
              <w:left w:val="single" w:color="000000" w:sz="4" w:space="0"/>
              <w:bottom w:val="single" w:color="000000" w:sz="4" w:space="0"/>
              <w:right w:val="single" w:color="000000" w:sz="4" w:space="0"/>
            </w:tcBorders>
            <w:tcW w:w="789" w:type="dxa"/>
            <w:textDirection w:val="lrTb"/>
            <w:noWrap w:val="false"/>
          </w:tcPr>
          <w:p>
            <w:pPr>
              <w:pStyle w:val="918"/>
              <w:jc w:val="center"/>
              <w:widowControl w:val="off"/>
              <w:rPr>
                <w:sz w:val="24"/>
                <w:szCs w:val="24"/>
              </w:rPr>
            </w:pPr>
            <w:r>
              <w:rPr>
                <w:rFonts w:ascii="Times New Roman" w:hAnsi="Times New Roman" w:cs="Times New Roman"/>
                <w:sz w:val="24"/>
                <w:szCs w:val="24"/>
              </w:rPr>
              <w:t xml:space="preserve">8.</w:t>
            </w:r>
            <w:r>
              <w:rPr>
                <w:sz w:val="24"/>
                <w:szCs w:val="24"/>
              </w:rPr>
            </w:r>
            <w:r>
              <w:rPr>
                <w:sz w:val="24"/>
                <w:szCs w:val="24"/>
              </w:rPr>
            </w:r>
          </w:p>
        </w:tc>
        <w:tc>
          <w:tcPr>
            <w:tcBorders>
              <w:top w:val="single" w:color="000000" w:sz="4" w:space="0"/>
              <w:left w:val="single" w:color="000000" w:sz="4" w:space="0"/>
              <w:bottom w:val="single" w:color="000000" w:sz="4" w:space="0"/>
              <w:right w:val="single" w:color="000000" w:sz="4" w:space="0"/>
            </w:tcBorders>
            <w:tcW w:w="8279" w:type="dxa"/>
            <w:textDirection w:val="lrTb"/>
            <w:noWrap w:val="false"/>
          </w:tcPr>
          <w:p>
            <w:pPr>
              <w:pStyle w:val="918"/>
              <w:widowControl w:val="off"/>
              <w:rPr>
                <w:sz w:val="24"/>
                <w:szCs w:val="24"/>
              </w:rPr>
            </w:pPr>
            <w:r>
              <w:rPr>
                <w:rFonts w:ascii="Times New Roman" w:hAnsi="Times New Roman" w:cs="Times New Roman"/>
                <w:sz w:val="24"/>
                <w:szCs w:val="24"/>
              </w:rPr>
              <w:t xml:space="preserve">Риски реализации проекта (указать основные риски по проекту, их оценку, способы управления рисками)</w:t>
            </w:r>
            <w:r>
              <w:rPr>
                <w:sz w:val="24"/>
                <w:szCs w:val="24"/>
              </w:rPr>
            </w:r>
            <w:r>
              <w:rPr>
                <w:sz w:val="24"/>
                <w:szCs w:val="24"/>
              </w:rPr>
            </w:r>
          </w:p>
        </w:tc>
      </w:tr>
      <w:tr>
        <w:tblPrEx/>
        <w:trPr>
          <w:trHeight w:val="1875"/>
        </w:trPr>
        <w:tc>
          <w:tcPr>
            <w:gridSpan w:val="2"/>
            <w:tcBorders>
              <w:top w:val="single" w:color="000000" w:sz="4" w:space="0"/>
              <w:left w:val="single" w:color="000000" w:sz="4" w:space="0"/>
              <w:bottom w:val="single" w:color="000000" w:sz="4" w:space="0"/>
              <w:right w:val="single" w:color="000000" w:sz="4" w:space="0"/>
            </w:tcBorders>
            <w:tcW w:w="9068" w:type="dxa"/>
            <w:textDirection w:val="lrTb"/>
            <w:noWrap w:val="false"/>
          </w:tcPr>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I.</w:t>
            </w:r>
            <w:r>
              <w:rPr>
                <w:sz w:val="24"/>
                <w:szCs w:val="24"/>
              </w:rPr>
            </w:r>
            <w:r>
              <w:rPr>
                <w:sz w:val="24"/>
                <w:szCs w:val="24"/>
              </w:rPr>
            </w:r>
          </w:p>
          <w:p>
            <w:pPr>
              <w:pStyle w:val="859"/>
              <w:numPr>
                <w:ilvl w:val="0"/>
                <w:numId w:val="0"/>
              </w:numPr>
              <w:ind w:lef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К основным рискам относятся:</w:t>
            </w:r>
            <w:r>
              <w:rPr>
                <w:sz w:val="24"/>
                <w:szCs w:val="24"/>
              </w:rPr>
            </w:r>
            <w:r>
              <w:rPr>
                <w:sz w:val="24"/>
                <w:szCs w:val="24"/>
              </w:rPr>
            </w:r>
          </w:p>
          <w:p>
            <w:pPr>
              <w:pStyle w:val="859"/>
              <w:numPr>
                <w:ilvl w:val="1"/>
                <w:numId w:val="5"/>
              </w:numPr>
              <w:ind w:lef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Риск отсутствия вовлеченности медицинского персонала. Способ управления: активное участие руководства и проведение регулярных встреч для обсуждения прогресса и решения возникающих вопросов.</w:t>
            </w:r>
            <w:r>
              <w:rPr>
                <w:sz w:val="24"/>
                <w:szCs w:val="24"/>
              </w:rPr>
            </w:r>
            <w:r>
              <w:rPr>
                <w:sz w:val="24"/>
                <w:szCs w:val="24"/>
              </w:rPr>
            </w:r>
          </w:p>
          <w:p>
            <w:pPr>
              <w:pStyle w:val="859"/>
              <w:numPr>
                <w:ilvl w:val="1"/>
                <w:numId w:val="5"/>
              </w:numPr>
              <w:ind w:lef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Технические сложности при внедрении. Способ управления: привлечение квалифицированной ИТ-команды для обеспечения бесперебойной работы МИС и своевременного устранения технических проблем.</w:t>
            </w:r>
            <w:r>
              <w:rPr>
                <w:sz w:val="24"/>
                <w:szCs w:val="24"/>
              </w:rPr>
            </w:r>
            <w:r>
              <w:rPr>
                <w:sz w:val="24"/>
                <w:szCs w:val="24"/>
              </w:rPr>
            </w:r>
          </w:p>
          <w:p>
            <w:pPr>
              <w:pStyle w:val="859"/>
              <w:numPr>
                <w:ilvl w:val="1"/>
                <w:numId w:val="5"/>
              </w:numPr>
              <w:ind w:lef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Изменения в законодательстве. Способ управления: постоянный мониторинг законодательных изменений и оперативное внесение корректировок в шаблоны документов.</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Управление этими рисками требует комплексного подхода, включающего разработку детальных планов дейст</w:t>
            </w:r>
            <w:r>
              <w:rPr>
                <w:rFonts w:ascii="Times New Roman" w:hAnsi="Times New Roman" w:cs="Times New Roman"/>
                <w:sz w:val="24"/>
                <w:szCs w:val="24"/>
                <w:lang w:eastAsia="ru-RU"/>
              </w:rPr>
              <w:t xml:space="preserve">вий, обучение персонала, регулярный мониторинг прогресса и оперативное реагирование на возникшие трудности. Для их устранения предусмотрены мероприятия по привлечению экспертов, обучению команды и проведению юридической экспертизы на этапах проектирования.</w:t>
            </w:r>
            <w:r>
              <w:rPr>
                <w:sz w:val="24"/>
                <w:szCs w:val="24"/>
              </w:rPr>
            </w:r>
            <w:r>
              <w:rPr>
                <w:sz w:val="24"/>
                <w:szCs w:val="24"/>
              </w:rPr>
            </w:r>
          </w:p>
          <w:p>
            <w:pPr>
              <w:pStyle w:val="859"/>
              <w:ind w:right="0" w:firstLine="709"/>
              <w:jc w:val="both"/>
              <w:spacing w:before="0" w:after="0" w:line="240" w:lineRule="auto"/>
              <w:widowControl w:val="off"/>
              <w:rPr>
                <w:rFonts w:ascii="Times New Roman" w:hAnsi="Times New Roman" w:cs="Times New Roman"/>
                <w:sz w:val="24"/>
                <w:szCs w:val="24"/>
                <w:lang w:eastAsia="ru-RU"/>
              </w:rPr>
            </w:pPr>
            <w:r>
              <w:rPr>
                <w:rFonts w:ascii="Times New Roman" w:hAnsi="Times New Roman" w:cs="Times New Roman"/>
                <w:sz w:val="24"/>
                <w:szCs w:val="24"/>
                <w:lang w:eastAsia="ru-RU"/>
              </w:rPr>
            </w:r>
            <w:r>
              <w:rPr>
                <w:rFonts w:ascii="Times New Roman" w:hAnsi="Times New Roman" w:cs="Times New Roman"/>
                <w:sz w:val="24"/>
                <w:szCs w:val="24"/>
                <w:lang w:eastAsia="ru-RU"/>
              </w:rPr>
            </w:r>
            <w:r>
              <w:rPr>
                <w:rFonts w:ascii="Times New Roman" w:hAnsi="Times New Roman" w:cs="Times New Roman"/>
                <w:sz w:val="24"/>
                <w:szCs w:val="24"/>
                <w:lang w:eastAsia="ru-RU"/>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II.</w:t>
            </w:r>
            <w:r>
              <w:rPr>
                <w:sz w:val="24"/>
                <w:szCs w:val="24"/>
              </w:rPr>
            </w:r>
            <w:r>
              <w:rPr>
                <w:sz w:val="24"/>
                <w:szCs w:val="24"/>
              </w:rPr>
            </w:r>
          </w:p>
          <w:p>
            <w:pPr>
              <w:pStyle w:val="859"/>
              <w:numPr>
                <w:ilvl w:val="0"/>
                <w:numId w:val="0"/>
              </w:numPr>
              <w:ind w:lef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К основным техническим рискам относятся сложности интеграции системы в существующую IT-инфра</w:t>
            </w:r>
            <w:r>
              <w:rPr>
                <w:rFonts w:ascii="Times New Roman" w:hAnsi="Times New Roman" w:cs="Times New Roman"/>
                <w:sz w:val="24"/>
                <w:szCs w:val="24"/>
                <w:lang w:eastAsia="ru-RU"/>
              </w:rPr>
              <w:t xml:space="preserve">структуру заказчиков и возможные проблемы с оптимальностью работы алгоритмов анализа данных. Для их минимизации планируется проведение аудита инфраструктуры перед внедрением, использование стандартов API и многоуровневое тестирование разработанных моделей.</w:t>
            </w:r>
            <w:r>
              <w:rPr>
                <w:sz w:val="24"/>
                <w:szCs w:val="24"/>
              </w:rPr>
            </w:r>
            <w:r>
              <w:rPr>
                <w:sz w:val="24"/>
                <w:szCs w:val="24"/>
              </w:rPr>
            </w:r>
          </w:p>
          <w:p>
            <w:pPr>
              <w:pStyle w:val="859"/>
              <w:numPr>
                <w:ilvl w:val="1"/>
                <w:numId w:val="5"/>
              </w:numPr>
              <w:ind w:lef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Организац</w:t>
            </w:r>
            <w:r>
              <w:rPr>
                <w:rFonts w:ascii="Times New Roman" w:hAnsi="Times New Roman" w:cs="Times New Roman"/>
                <w:sz w:val="24"/>
                <w:szCs w:val="24"/>
                <w:lang w:eastAsia="ru-RU"/>
              </w:rPr>
              <w:t xml:space="preserve">ионные риски, такие как низкая вовлеченность заказчиков или задержки в сроках выполнения этапов, будут снижаться за счет регулярного взаимодействия с пользователями системы, проведения обучающих мероприятий и строгого контроля за графиком выполнения задач.</w:t>
            </w:r>
            <w:r>
              <w:rPr>
                <w:sz w:val="24"/>
                <w:szCs w:val="24"/>
              </w:rPr>
            </w:r>
            <w:r>
              <w:rPr>
                <w:sz w:val="24"/>
                <w:szCs w:val="24"/>
              </w:rPr>
            </w:r>
          </w:p>
          <w:p>
            <w:pPr>
              <w:pStyle w:val="859"/>
              <w:numPr>
                <w:ilvl w:val="1"/>
                <w:numId w:val="5"/>
              </w:numPr>
              <w:ind w:lef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Финансовые риски, включая возможное превышение бюджета, устраняются путем тщательного планирования и резервирования средств на непредвиденные расходы.</w:t>
            </w:r>
            <w:r>
              <w:rPr>
                <w:sz w:val="24"/>
                <w:szCs w:val="24"/>
              </w:rPr>
            </w:r>
            <w:r>
              <w:rPr>
                <w:sz w:val="24"/>
                <w:szCs w:val="24"/>
              </w:rPr>
            </w:r>
          </w:p>
          <w:p>
            <w:pPr>
              <w:pStyle w:val="859"/>
              <w:numPr>
                <w:ilvl w:val="1"/>
                <w:numId w:val="5"/>
              </w:numPr>
              <w:ind w:lef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Кадровые и регуляторные риски в</w:t>
            </w:r>
            <w:r>
              <w:rPr>
                <w:rFonts w:ascii="Times New Roman" w:hAnsi="Times New Roman" w:cs="Times New Roman"/>
                <w:sz w:val="24"/>
                <w:szCs w:val="24"/>
                <w:lang w:eastAsia="ru-RU"/>
              </w:rPr>
              <w:t xml:space="preserve">ключают возможную нехватку квалифицированных специалистов и несоответствие системы нормативным требованиям. Для их устранения предусмотрены мероприятия по привлечению экспертов, обучению команды и проведению юридической экспертизы на этапах проектирования.</w:t>
            </w:r>
            <w:r>
              <w:rPr>
                <w:sz w:val="24"/>
                <w:szCs w:val="24"/>
              </w:rPr>
            </w:r>
            <w:r>
              <w:rPr>
                <w:sz w:val="24"/>
                <w:szCs w:val="24"/>
              </w:rPr>
            </w:r>
          </w:p>
          <w:p>
            <w:pPr>
              <w:pStyle w:val="859"/>
              <w:numPr>
                <w:ilvl w:val="0"/>
                <w:numId w:val="0"/>
              </w:numPr>
              <w:ind w:left="0" w:firstLine="0"/>
              <w:jc w:val="both"/>
              <w:spacing w:before="0" w:after="0" w:line="240" w:lineRule="auto"/>
              <w:widowControl w:val="off"/>
              <w:rPr>
                <w:rFonts w:ascii="Times New Roman" w:hAnsi="Times New Roman" w:cs="Times New Roman"/>
                <w:sz w:val="24"/>
                <w:szCs w:val="24"/>
                <w:lang w:eastAsia="ru-RU"/>
              </w:rPr>
            </w:pPr>
            <w:r>
              <w:rPr>
                <w:rFonts w:ascii="Times New Roman" w:hAnsi="Times New Roman" w:cs="Times New Roman"/>
                <w:sz w:val="24"/>
                <w:szCs w:val="24"/>
                <w:lang w:eastAsia="ru-RU"/>
              </w:rPr>
            </w:r>
            <w:r>
              <w:rPr>
                <w:rFonts w:ascii="Times New Roman" w:hAnsi="Times New Roman" w:cs="Times New Roman"/>
                <w:sz w:val="24"/>
                <w:szCs w:val="24"/>
                <w:lang w:eastAsia="ru-RU"/>
              </w:rPr>
            </w:r>
            <w:r>
              <w:rPr>
                <w:rFonts w:ascii="Times New Roman" w:hAnsi="Times New Roman" w:cs="Times New Roman"/>
                <w:sz w:val="24"/>
                <w:szCs w:val="24"/>
                <w:lang w:eastAsia="ru-RU"/>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III.</w:t>
            </w:r>
            <w:r>
              <w:rPr>
                <w:sz w:val="24"/>
                <w:szCs w:val="24"/>
              </w:rPr>
            </w:r>
            <w:r>
              <w:rPr>
                <w:sz w:val="24"/>
                <w:szCs w:val="24"/>
              </w:rPr>
            </w:r>
          </w:p>
          <w:p>
            <w:pPr>
              <w:pStyle w:val="859"/>
              <w:ind w:lef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К основным рискам относятся:</w:t>
            </w:r>
            <w:r>
              <w:rPr>
                <w:sz w:val="24"/>
                <w:szCs w:val="24"/>
              </w:rPr>
            </w:r>
            <w:r>
              <w:rPr>
                <w:sz w:val="24"/>
                <w:szCs w:val="24"/>
              </w:rPr>
            </w:r>
          </w:p>
          <w:p>
            <w:pPr>
              <w:pStyle w:val="859"/>
              <w:numPr>
                <w:ilvl w:val="1"/>
                <w:numId w:val="5"/>
              </w:numPr>
              <w:ind w:lef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Риск, связанный с командными ресурсами </w:t>
            </w:r>
            <w:r>
              <w:rPr>
                <w:rFonts w:ascii="Times New Roman" w:hAnsi="Times New Roman" w:cs="Times New Roman"/>
                <w:sz w:val="24"/>
                <w:szCs w:val="24"/>
                <w:lang w:eastAsia="ru-RU"/>
              </w:rPr>
              <w:t xml:space="preserve">проекта. Невозможность выполнения мероприятий проекта исполнителями по объективным причинам (больничный, командировки и др.). Способ управления: привлечение к выполнению мероприятий проекта других квалифицированных сотрудников кафедр и лабораторий ВолгГМУ.</w:t>
            </w:r>
            <w:r>
              <w:rPr>
                <w:sz w:val="24"/>
                <w:szCs w:val="24"/>
              </w:rPr>
            </w:r>
            <w:r>
              <w:rPr>
                <w:sz w:val="24"/>
                <w:szCs w:val="24"/>
              </w:rPr>
            </w:r>
          </w:p>
          <w:p>
            <w:pPr>
              <w:pStyle w:val="859"/>
              <w:numPr>
                <w:ilvl w:val="1"/>
                <w:numId w:val="5"/>
              </w:numPr>
              <w:ind w:lef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Риск, связанный с материальными и финансовыми ресурсами: Увеличение стоимости расходных материалов и реактивов. Способ упр</w:t>
            </w:r>
            <w:r>
              <w:rPr>
                <w:rFonts w:ascii="Times New Roman" w:hAnsi="Times New Roman" w:cs="Times New Roman"/>
                <w:sz w:val="24"/>
                <w:szCs w:val="24"/>
                <w:lang w:eastAsia="ru-RU"/>
              </w:rPr>
              <w:t xml:space="preserve">авления: в случае увеличения стоимости расходных материалов и реактивов от запланированной стоимости на момент подачи грантовой заявки предполагается уменьшение количества исследований, но не ниже порога статистической достоверности полученных результатов.</w:t>
            </w:r>
            <w:r>
              <w:rPr>
                <w:sz w:val="24"/>
                <w:szCs w:val="24"/>
              </w:rPr>
            </w:r>
            <w:r>
              <w:rPr>
                <w:sz w:val="24"/>
                <w:szCs w:val="24"/>
              </w:rPr>
            </w:r>
          </w:p>
          <w:p>
            <w:pPr>
              <w:pStyle w:val="859"/>
              <w:ind w:right="0" w:firstLine="709"/>
              <w:jc w:val="both"/>
              <w:spacing w:before="0" w:after="0" w:line="240" w:lineRule="auto"/>
              <w:widowControl w:val="off"/>
              <w:rPr>
                <w:sz w:val="24"/>
                <w:szCs w:val="24"/>
              </w:rPr>
            </w:pPr>
            <w:r>
              <w:rPr>
                <w:sz w:val="24"/>
                <w:szCs w:val="24"/>
              </w:rPr>
            </w:r>
            <w:r>
              <w:rPr>
                <w:sz w:val="24"/>
                <w:szCs w:val="24"/>
              </w:rPr>
            </w:r>
            <w:r>
              <w:rPr>
                <w:sz w:val="24"/>
                <w:szCs w:val="24"/>
              </w:rPr>
            </w:r>
          </w:p>
          <w:p>
            <w:pPr>
              <w:pStyle w:val="859"/>
              <w:ind w:righ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IV</w:t>
            </w:r>
            <w:r>
              <w:rPr>
                <w:sz w:val="24"/>
                <w:szCs w:val="24"/>
              </w:rPr>
            </w:r>
            <w:r>
              <w:rPr>
                <w:sz w:val="24"/>
                <w:szCs w:val="24"/>
              </w:rPr>
            </w:r>
          </w:p>
          <w:p>
            <w:pPr>
              <w:pStyle w:val="859"/>
              <w:ind w:lef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К основным рискам относятся:</w:t>
            </w:r>
            <w:r>
              <w:rPr>
                <w:sz w:val="24"/>
                <w:szCs w:val="24"/>
              </w:rPr>
            </w:r>
            <w:r>
              <w:rPr>
                <w:sz w:val="24"/>
                <w:szCs w:val="24"/>
              </w:rPr>
            </w:r>
          </w:p>
          <w:p>
            <w:pPr>
              <w:pStyle w:val="859"/>
              <w:numPr>
                <w:ilvl w:val="1"/>
                <w:numId w:val="5"/>
              </w:numPr>
              <w:ind w:lef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Риск </w:t>
            </w:r>
            <w:r>
              <w:rPr>
                <w:rFonts w:ascii="Times New Roman" w:hAnsi="Times New Roman" w:eastAsia="Times New Roman" w:cs="Times New Roman"/>
                <w:color w:val="auto"/>
                <w:sz w:val="24"/>
                <w:szCs w:val="24"/>
                <w:lang w:val="ru-RU" w:eastAsia="ru-RU" w:bidi="ar-SA"/>
              </w:rPr>
              <w:t xml:space="preserve">несвоевременной закупки реактивов, которая может отразиться на сроках проведения исследования.</w:t>
            </w:r>
            <w:r>
              <w:rPr>
                <w:sz w:val="24"/>
                <w:szCs w:val="24"/>
              </w:rPr>
            </w:r>
            <w:r>
              <w:rPr>
                <w:sz w:val="24"/>
                <w:szCs w:val="24"/>
              </w:rPr>
            </w:r>
          </w:p>
          <w:p>
            <w:pPr>
              <w:pStyle w:val="859"/>
              <w:numPr>
                <w:ilvl w:val="1"/>
                <w:numId w:val="5"/>
              </w:numPr>
              <w:ind w:lef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Риск неправильного подбора доз испытуемого средства, который может повлиять на оценку его эффективности.</w:t>
            </w:r>
            <w:r>
              <w:rPr>
                <w:sz w:val="24"/>
                <w:szCs w:val="24"/>
              </w:rPr>
            </w:r>
            <w:r>
              <w:rPr>
                <w:sz w:val="24"/>
                <w:szCs w:val="24"/>
              </w:rPr>
            </w:r>
          </w:p>
          <w:p>
            <w:pPr>
              <w:pStyle w:val="859"/>
              <w:ind w:righ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С целью предотвр</w:t>
            </w:r>
            <w:r>
              <w:rPr>
                <w:rFonts w:ascii="Times New Roman" w:hAnsi="Times New Roman" w:cs="Times New Roman"/>
                <w:sz w:val="24"/>
                <w:szCs w:val="24"/>
                <w:lang w:eastAsia="ru-RU"/>
              </w:rPr>
              <w:t xml:space="preserve">ащения данных рисков предполагается активное взаимодействие инженерной службой и службой снабжения, а также с центром трансфера технологий. В доклинических исследованиях планируется тщательный подбор доз с экстарполяцией экспериментальной дозы на человека.</w:t>
            </w:r>
            <w:r>
              <w:rPr>
                <w:sz w:val="24"/>
                <w:szCs w:val="24"/>
              </w:rPr>
            </w:r>
            <w:r>
              <w:rPr>
                <w:sz w:val="24"/>
                <w:szCs w:val="24"/>
              </w:rPr>
            </w:r>
          </w:p>
          <w:p>
            <w:pPr>
              <w:pStyle w:val="859"/>
              <w:numPr>
                <w:ilvl w:val="1"/>
                <w:numId w:val="5"/>
              </w:numPr>
              <w:ind w:lef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Организационные риски, такие как зад</w:t>
            </w:r>
            <w:r>
              <w:rPr>
                <w:rFonts w:ascii="Times New Roman" w:hAnsi="Times New Roman" w:cs="Times New Roman"/>
                <w:sz w:val="24"/>
                <w:szCs w:val="24"/>
                <w:lang w:eastAsia="ru-RU"/>
              </w:rPr>
              <w:t xml:space="preserve">ержки в сроках выполнения этапов, будут снижаться за счет строгого контроля за графиком выполнения задач. Финансовые риски, включая возможное превышение бюджета, устраняются путем тщательного планирования и резервирования средств на непредвиденные расходы.</w:t>
            </w:r>
            <w:r>
              <w:rPr>
                <w:sz w:val="24"/>
                <w:szCs w:val="24"/>
              </w:rPr>
            </w:r>
            <w:r>
              <w:rPr>
                <w:sz w:val="24"/>
                <w:szCs w:val="24"/>
              </w:rPr>
            </w:r>
          </w:p>
          <w:p>
            <w:pPr>
              <w:pStyle w:val="859"/>
              <w:numPr>
                <w:ilvl w:val="1"/>
                <w:numId w:val="5"/>
              </w:numPr>
              <w:ind w:left="0" w:firstLine="709"/>
              <w:jc w:val="both"/>
              <w:spacing w:before="0" w:after="0" w:line="240" w:lineRule="auto"/>
              <w:widowControl w:val="off"/>
              <w:rPr>
                <w:sz w:val="24"/>
                <w:szCs w:val="24"/>
              </w:rPr>
            </w:pPr>
            <w:r>
              <w:rPr>
                <w:rFonts w:ascii="Times New Roman" w:hAnsi="Times New Roman" w:cs="Times New Roman"/>
                <w:sz w:val="24"/>
                <w:szCs w:val="24"/>
                <w:lang w:eastAsia="ru-RU"/>
              </w:rPr>
              <w:t xml:space="preserve">Кадровые и регуляторные риски включают возможную нехватку квалифицированных специалистов и несоответствие системы нормативным требованиям. Для их устранения предусмотрены мероприятия по привлечению экспертов, обучению команды на этапах проектирования.</w:t>
            </w:r>
            <w:r>
              <w:rPr>
                <w:sz w:val="24"/>
                <w:szCs w:val="24"/>
              </w:rPr>
            </w:r>
            <w:r>
              <w:rPr>
                <w:sz w:val="24"/>
                <w:szCs w:val="24"/>
              </w:rPr>
            </w:r>
          </w:p>
          <w:p>
            <w:pPr>
              <w:pStyle w:val="859"/>
              <w:numPr>
                <w:ilvl w:val="0"/>
                <w:numId w:val="0"/>
              </w:numPr>
              <w:ind w:left="0" w:firstLine="0"/>
              <w:jc w:val="both"/>
              <w:spacing w:before="0" w:after="0" w:line="240" w:lineRule="auto"/>
              <w:widowControl w:val="off"/>
              <w:rPr>
                <w:rFonts w:ascii="Times New Roman" w:hAnsi="Times New Roman" w:cs="Times New Roman"/>
                <w:sz w:val="24"/>
                <w:szCs w:val="24"/>
                <w:lang w:eastAsia="ru-RU"/>
              </w:rPr>
            </w:pPr>
            <w:r>
              <w:rPr>
                <w:rFonts w:ascii="Times New Roman" w:hAnsi="Times New Roman" w:cs="Times New Roman"/>
                <w:sz w:val="24"/>
                <w:szCs w:val="24"/>
                <w:lang w:eastAsia="ru-RU"/>
              </w:rPr>
            </w:r>
            <w:r>
              <w:rPr>
                <w:rFonts w:ascii="Times New Roman" w:hAnsi="Times New Roman" w:cs="Times New Roman"/>
                <w:sz w:val="24"/>
                <w:szCs w:val="24"/>
                <w:lang w:eastAsia="ru-RU"/>
              </w:rPr>
            </w:r>
            <w:r>
              <w:rPr>
                <w:rFonts w:ascii="Times New Roman" w:hAnsi="Times New Roman" w:cs="Times New Roman"/>
                <w:sz w:val="24"/>
                <w:szCs w:val="24"/>
                <w:lang w:eastAsia="ru-RU"/>
              </w:rPr>
            </w:r>
          </w:p>
          <w:p>
            <w:pPr>
              <w:pStyle w:val="859"/>
              <w:numPr>
                <w:ilvl w:val="0"/>
                <w:numId w:val="0"/>
              </w:numPr>
              <w:ind w:left="0" w:firstLine="0"/>
              <w:jc w:val="both"/>
              <w:spacing w:before="0" w:after="0" w:line="240" w:lineRule="auto"/>
              <w:widowControl w:val="off"/>
              <w:rPr>
                <w:sz w:val="24"/>
                <w:szCs w:val="24"/>
              </w:rPr>
            </w:pPr>
            <w:r>
              <w:rPr>
                <w:rFonts w:ascii="Times New Roman" w:hAnsi="Times New Roman" w:cs="Times New Roman"/>
                <w:sz w:val="24"/>
                <w:szCs w:val="24"/>
                <w:lang w:eastAsia="ru-RU"/>
              </w:rPr>
              <w:t xml:space="preserve">        </w:t>
            </w:r>
            <w:r>
              <w:rPr>
                <w:rFonts w:ascii="Times New Roman" w:hAnsi="Times New Roman" w:cs="Times New Roman"/>
                <w:sz w:val="24"/>
                <w:szCs w:val="24"/>
                <w:lang w:eastAsia="ru-RU"/>
              </w:rPr>
              <w:t xml:space="preserve">В целях эффективного управления всеми видами рисков будет внедрена система мониторинга и управлен</w:t>
            </w:r>
            <w:r>
              <w:rPr>
                <w:rFonts w:ascii="Times New Roman" w:hAnsi="Times New Roman" w:cs="Times New Roman"/>
                <w:sz w:val="24"/>
                <w:szCs w:val="24"/>
                <w:lang w:eastAsia="ru-RU"/>
              </w:rPr>
              <w:t xml:space="preserve">ия изменениями требованиями, анализа стратегии, а также установлены контрольные точки для оценки выполнения задач. Такой подход обеспечит адаптацию к возникающим вызовам и успешную реализацию проекта с достижением всех ключевых целей в установленные сроки.</w:t>
            </w:r>
            <w:r>
              <w:rPr>
                <w:sz w:val="24"/>
                <w:szCs w:val="24"/>
              </w:rPr>
            </w:r>
            <w:r>
              <w:rPr>
                <w:sz w:val="24"/>
                <w:szCs w:val="24"/>
              </w:rPr>
            </w:r>
          </w:p>
        </w:tc>
      </w:tr>
    </w:tbl>
    <w:p>
      <w:pPr>
        <w:pStyle w:val="918"/>
        <w:jc w:val="both"/>
        <w:rPr>
          <w:rFonts w:ascii="Times New Roman" w:hAnsi="Times New Roman" w:cs="Times New Roman"/>
          <w:highlight w:val="yellow"/>
        </w:rPr>
      </w:pPr>
      <w:r>
        <w:rPr>
          <w:rFonts w:ascii="Times New Roman" w:hAnsi="Times New Roman" w:cs="Times New Roman"/>
          <w:highlight w:val="yellow"/>
        </w:rPr>
      </w:r>
      <w:r>
        <w:rPr>
          <w:rFonts w:ascii="Times New Roman" w:hAnsi="Times New Roman" w:cs="Times New Roman"/>
          <w:highlight w:val="yellow"/>
        </w:rPr>
      </w:r>
      <w:r>
        <w:rPr>
          <w:rFonts w:ascii="Times New Roman" w:hAnsi="Times New Roman" w:cs="Times New Roman"/>
          <w:highlight w:val="yellow"/>
        </w:rPr>
      </w:r>
    </w:p>
    <w:tbl>
      <w:tblPr>
        <w:tblW w:w="9049" w:type="dxa"/>
        <w:tblInd w:w="62" w:type="dxa"/>
        <w:tblLayout w:type="fixed"/>
        <w:tblCellMar>
          <w:left w:w="62" w:type="dxa"/>
          <w:top w:w="102" w:type="dxa"/>
          <w:right w:w="62" w:type="dxa"/>
          <w:bottom w:w="102" w:type="dxa"/>
        </w:tblCellMar>
        <w:tblLook w:val="04A0" w:firstRow="1" w:lastRow="0" w:firstColumn="1" w:lastColumn="0" w:noHBand="0" w:noVBand="1"/>
      </w:tblPr>
      <w:tblGrid>
        <w:gridCol w:w="2131"/>
        <w:gridCol w:w="2322"/>
        <w:gridCol w:w="1560"/>
        <w:gridCol w:w="343"/>
        <w:gridCol w:w="2693"/>
      </w:tblGrid>
      <w:tr>
        <w:tblPrEx/>
        <w:trPr/>
        <w:tc>
          <w:tcPr>
            <w:gridSpan w:val="2"/>
            <w:tcW w:w="4453" w:type="dxa"/>
            <w:textDirection w:val="lrTb"/>
            <w:noWrap w:val="false"/>
          </w:tcPr>
          <w:p>
            <w:pPr>
              <w:pStyle w:val="918"/>
              <w:widowControl w:val="off"/>
              <w:rPr>
                <w:rFonts w:ascii="Times New Roman" w:hAnsi="Times New Roman" w:cs="Times New Roman"/>
                <w:sz w:val="24"/>
                <w:szCs w:val="24"/>
              </w:rPr>
            </w:pPr>
            <w:r>
              <w:rPr>
                <w:rFonts w:ascii="Times New Roman" w:hAnsi="Times New Roman" w:cs="Times New Roman"/>
                <w:sz w:val="24"/>
                <w:szCs w:val="24"/>
              </w:rPr>
              <w:t xml:space="preserve">и.о. проректора по научной деятельности</w:t>
            </w:r>
            <w:r>
              <w:rPr>
                <w:rFonts w:ascii="Times New Roman" w:hAnsi="Times New Roman" w:cs="Times New Roman"/>
                <w:sz w:val="24"/>
                <w:szCs w:val="24"/>
              </w:rPr>
            </w:r>
            <w:r>
              <w:rPr>
                <w:rFonts w:ascii="Times New Roman" w:hAnsi="Times New Roman" w:cs="Times New Roman"/>
                <w:sz w:val="24"/>
                <w:szCs w:val="24"/>
              </w:rPr>
            </w:r>
          </w:p>
        </w:tc>
        <w:tc>
          <w:tcPr>
            <w:tcBorders>
              <w:bottom w:val="single" w:color="000000" w:sz="4" w:space="0"/>
            </w:tcBorders>
            <w:tcW w:w="1560" w:type="dxa"/>
            <w:textDirection w:val="lrTb"/>
            <w:noWrap w:val="false"/>
          </w:tcPr>
          <w:p>
            <w:pPr>
              <w:pStyle w:val="918"/>
              <w:widowControl w:val="off"/>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Borders>
              <w:bottom w:val="single" w:color="000000" w:sz="4" w:space="0"/>
            </w:tcBorders>
            <w:tcW w:w="343" w:type="dxa"/>
            <w:textDirection w:val="lrTb"/>
            <w:noWrap w:val="false"/>
          </w:tcPr>
          <w:p>
            <w:pPr>
              <w:pStyle w:val="918"/>
              <w:widowControl w:val="off"/>
              <w:rPr>
                <w:rFonts w:ascii="Times New Roman" w:hAnsi="Times New Roman" w:eastAsia="Times New Roman" w:cs="Times New Roman"/>
                <w:color w:val="auto"/>
                <w:sz w:val="24"/>
                <w:szCs w:val="24"/>
                <w:lang w:val="ru-RU" w:eastAsia="zh-CN" w:bidi="ar-SA"/>
              </w:rPr>
            </w:pP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p>
        </w:tc>
        <w:tc>
          <w:tcPr>
            <w:tcBorders>
              <w:bottom w:val="single" w:color="000000" w:sz="4" w:space="0"/>
            </w:tcBorders>
            <w:tcW w:w="2693" w:type="dxa"/>
            <w:textDirection w:val="lrTb"/>
            <w:noWrap w:val="false"/>
          </w:tcPr>
          <w:p>
            <w:pPr>
              <w:pStyle w:val="918"/>
              <w:jc w:val="center"/>
              <w:widowControl w:val="off"/>
              <w:rPr>
                <w:rFonts w:ascii="Times New Roman" w:hAnsi="Times New Roman" w:eastAsia="Times New Roman" w:cs="Times New Roman"/>
                <w:color w:val="auto"/>
                <w:sz w:val="24"/>
                <w:szCs w:val="24"/>
                <w:lang w:val="ru-RU" w:eastAsia="zh-CN" w:bidi="ar-SA"/>
              </w:rPr>
            </w:pPr>
            <w:r>
              <w:rPr>
                <w:rFonts w:ascii="Times New Roman" w:hAnsi="Times New Roman" w:eastAsia="Times New Roman" w:cs="Times New Roman"/>
                <w:color w:val="auto"/>
                <w:sz w:val="24"/>
                <w:szCs w:val="24"/>
                <w:lang w:val="ru-RU" w:eastAsia="zh-CN" w:bidi="ar-SA"/>
              </w:rPr>
              <w:t xml:space="preserve">Д.А.Бабков</w:t>
            </w:r>
            <w:r>
              <w:rPr>
                <w:rFonts w:ascii="Times New Roman" w:hAnsi="Times New Roman" w:eastAsia="Times New Roman" w:cs="Times New Roman"/>
                <w:color w:val="auto"/>
                <w:sz w:val="24"/>
                <w:szCs w:val="24"/>
                <w:lang w:val="ru-RU" w:eastAsia="zh-CN" w:bidi="ar-SA"/>
              </w:rPr>
            </w:r>
            <w:r>
              <w:rPr>
                <w:rFonts w:ascii="Times New Roman" w:hAnsi="Times New Roman" w:eastAsia="Times New Roman" w:cs="Times New Roman"/>
                <w:color w:val="auto"/>
                <w:sz w:val="24"/>
                <w:szCs w:val="24"/>
                <w:lang w:val="ru-RU" w:eastAsia="zh-CN" w:bidi="ar-SA"/>
              </w:rPr>
            </w:r>
          </w:p>
        </w:tc>
      </w:tr>
      <w:tr>
        <w:tblPrEx/>
        <w:trPr/>
        <w:tc>
          <w:tcPr>
            <w:gridSpan w:val="2"/>
            <w:tcW w:w="4453" w:type="dxa"/>
            <w:textDirection w:val="lrTb"/>
            <w:noWrap w:val="false"/>
          </w:tcPr>
          <w:p>
            <w:pPr>
              <w:pStyle w:val="918"/>
              <w:widowControl w:val="off"/>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Borders>
              <w:top w:val="single" w:color="000000" w:sz="4" w:space="0"/>
            </w:tcBorders>
            <w:tcW w:w="1560" w:type="dxa"/>
            <w:textDirection w:val="lrTb"/>
            <w:noWrap w:val="false"/>
          </w:tcPr>
          <w:p>
            <w:pPr>
              <w:pStyle w:val="918"/>
              <w:jc w:val="center"/>
              <w:widowControl w:val="off"/>
              <w:rPr>
                <w:rFonts w:ascii="Times New Roman" w:hAnsi="Times New Roman" w:cs="Times New Roman"/>
              </w:rPr>
            </w:pPr>
            <w:r>
              <w:rPr>
                <w:rFonts w:ascii="Times New Roman" w:hAnsi="Times New Roman" w:cs="Times New Roman"/>
              </w:rPr>
              <w:t xml:space="preserve">(подпись)</w:t>
            </w:r>
            <w:r>
              <w:rPr>
                <w:rFonts w:ascii="Times New Roman" w:hAnsi="Times New Roman" w:cs="Times New Roman"/>
              </w:rPr>
            </w:r>
            <w:r>
              <w:rPr>
                <w:rFonts w:ascii="Times New Roman" w:hAnsi="Times New Roman" w:cs="Times New Roman"/>
              </w:rPr>
            </w:r>
          </w:p>
        </w:tc>
        <w:tc>
          <w:tcPr>
            <w:tcBorders>
              <w:top w:val="single" w:color="000000" w:sz="4" w:space="0"/>
            </w:tcBorders>
            <w:tcW w:w="343" w:type="dxa"/>
            <w:textDirection w:val="lrTb"/>
            <w:noWrap w:val="false"/>
          </w:tcPr>
          <w:p>
            <w:pPr>
              <w:pStyle w:val="918"/>
              <w:widowControl w:val="off"/>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Borders>
              <w:top w:val="single" w:color="000000" w:sz="4" w:space="0"/>
            </w:tcBorders>
            <w:tcW w:w="2693" w:type="dxa"/>
            <w:textDirection w:val="lrTb"/>
            <w:noWrap w:val="false"/>
          </w:tcPr>
          <w:p>
            <w:pPr>
              <w:pStyle w:val="918"/>
              <w:jc w:val="center"/>
              <w:widowControl w:val="off"/>
              <w:rPr>
                <w:rFonts w:ascii="Times New Roman" w:hAnsi="Times New Roman" w:cs="Times New Roman"/>
              </w:rPr>
            </w:pPr>
            <w:r>
              <w:rPr>
                <w:rFonts w:ascii="Times New Roman" w:hAnsi="Times New Roman" w:cs="Times New Roman"/>
              </w:rPr>
              <w:t xml:space="preserve">(инициалы, фамилия)</w:t>
            </w:r>
            <w:r>
              <w:rPr>
                <w:rFonts w:ascii="Times New Roman" w:hAnsi="Times New Roman" w:cs="Times New Roman"/>
              </w:rPr>
            </w:r>
            <w:r>
              <w:rPr>
                <w:rFonts w:ascii="Times New Roman" w:hAnsi="Times New Roman" w:cs="Times New Roman"/>
              </w:rPr>
            </w:r>
          </w:p>
        </w:tc>
      </w:tr>
      <w:tr>
        <w:tblPrEx/>
        <w:trPr/>
        <w:tc>
          <w:tcPr>
            <w:gridSpan w:val="5"/>
            <w:tcW w:w="9049" w:type="dxa"/>
            <w:textDirection w:val="lrTb"/>
            <w:noWrap w:val="false"/>
          </w:tcPr>
          <w:p>
            <w:pPr>
              <w:pStyle w:val="918"/>
              <w:jc w:val="center"/>
              <w:widowControl w:val="off"/>
              <w:rPr>
                <w:rFonts w:ascii="Times New Roman" w:hAnsi="Times New Roman" w:cs="Times New Roman"/>
              </w:rPr>
            </w:pPr>
            <w:r>
              <w:rPr>
                <w:rFonts w:ascii="Times New Roman" w:hAnsi="Times New Roman" w:cs="Times New Roman"/>
              </w:rPr>
              <w:t xml:space="preserve">М.П. (при наличии)</w:t>
            </w:r>
            <w:r>
              <w:rPr>
                <w:rFonts w:ascii="Times New Roman" w:hAnsi="Times New Roman" w:cs="Times New Roman"/>
              </w:rPr>
            </w:r>
            <w:r>
              <w:rPr>
                <w:rFonts w:ascii="Times New Roman" w:hAnsi="Times New Roman" w:cs="Times New Roman"/>
              </w:rPr>
            </w:r>
          </w:p>
        </w:tc>
      </w:tr>
      <w:tr>
        <w:tblPrEx/>
        <w:trPr/>
        <w:tc>
          <w:tcPr>
            <w:tcBorders>
              <w:bottom w:val="single" w:color="000000" w:sz="4" w:space="0"/>
            </w:tcBorders>
            <w:tcW w:w="2131" w:type="dxa"/>
            <w:textDirection w:val="lrTb"/>
            <w:noWrap w:val="false"/>
          </w:tcPr>
          <w:p>
            <w:pPr>
              <w:pStyle w:val="918"/>
              <w:widowControl w:val="off"/>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W w:w="2322" w:type="dxa"/>
            <w:textDirection w:val="lrTb"/>
            <w:noWrap w:val="false"/>
          </w:tcPr>
          <w:p>
            <w:pPr>
              <w:pStyle w:val="918"/>
              <w:widowControl w:val="off"/>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W w:w="1560" w:type="dxa"/>
            <w:textDirection w:val="lrTb"/>
            <w:noWrap w:val="false"/>
          </w:tcPr>
          <w:p>
            <w:pPr>
              <w:pStyle w:val="918"/>
              <w:widowControl w:val="off"/>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W w:w="343" w:type="dxa"/>
            <w:textDirection w:val="lrTb"/>
            <w:noWrap w:val="false"/>
          </w:tcPr>
          <w:p>
            <w:pPr>
              <w:pStyle w:val="918"/>
              <w:widowControl w:val="off"/>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W w:w="2693" w:type="dxa"/>
            <w:textDirection w:val="lrTb"/>
            <w:noWrap w:val="false"/>
          </w:tcPr>
          <w:p>
            <w:pPr>
              <w:pStyle w:val="918"/>
              <w:widowControl w:val="off"/>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r>
      <w:tr>
        <w:tblPrEx/>
        <w:trPr/>
        <w:tc>
          <w:tcPr>
            <w:tcBorders>
              <w:top w:val="single" w:color="000000" w:sz="4" w:space="0"/>
            </w:tcBorders>
            <w:tcW w:w="2131" w:type="dxa"/>
            <w:textDirection w:val="lrTb"/>
            <w:noWrap w:val="false"/>
          </w:tcPr>
          <w:p>
            <w:pPr>
              <w:pStyle w:val="918"/>
              <w:jc w:val="center"/>
              <w:widowControl w:val="off"/>
              <w:rPr>
                <w:rFonts w:ascii="Times New Roman" w:hAnsi="Times New Roman" w:cs="Times New Roman"/>
              </w:rPr>
            </w:pPr>
            <w:r>
              <w:rPr>
                <w:rFonts w:ascii="Times New Roman" w:hAnsi="Times New Roman" w:cs="Times New Roman"/>
              </w:rPr>
              <w:t xml:space="preserve">(дата)</w:t>
            </w:r>
            <w:r>
              <w:rPr>
                <w:rFonts w:ascii="Times New Roman" w:hAnsi="Times New Roman" w:cs="Times New Roman"/>
              </w:rPr>
            </w:r>
            <w:r>
              <w:rPr>
                <w:rFonts w:ascii="Times New Roman" w:hAnsi="Times New Roman" w:cs="Times New Roman"/>
              </w:rPr>
            </w:r>
          </w:p>
        </w:tc>
        <w:tc>
          <w:tcPr>
            <w:tcW w:w="2322" w:type="dxa"/>
            <w:textDirection w:val="lrTb"/>
            <w:noWrap w:val="false"/>
          </w:tcPr>
          <w:p>
            <w:pPr>
              <w:pStyle w:val="918"/>
              <w:widowControl w:val="off"/>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W w:w="1560" w:type="dxa"/>
            <w:textDirection w:val="lrTb"/>
            <w:noWrap w:val="false"/>
          </w:tcPr>
          <w:p>
            <w:pPr>
              <w:pStyle w:val="918"/>
              <w:widowControl w:val="off"/>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W w:w="343" w:type="dxa"/>
            <w:textDirection w:val="lrTb"/>
            <w:noWrap w:val="false"/>
          </w:tcPr>
          <w:p>
            <w:pPr>
              <w:pStyle w:val="918"/>
              <w:widowControl w:val="off"/>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W w:w="2693" w:type="dxa"/>
            <w:textDirection w:val="lrTb"/>
            <w:noWrap w:val="false"/>
          </w:tcPr>
          <w:p>
            <w:pPr>
              <w:pStyle w:val="918"/>
              <w:widowControl w:val="off"/>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r>
    </w:tbl>
    <w:p>
      <w:pPr>
        <w:pStyle w:val="928"/>
        <w:ind w:right="1" w:firstLine="851"/>
        <w:jc w:val="center"/>
        <w:spacing w:before="0" w:after="160" w:line="240" w:lineRule="auto"/>
      </w:pPr>
      <w:r/>
      <w:r/>
    </w:p>
    <w:sectPr>
      <w:headerReference w:type="default" r:id="rId9"/>
      <w:headerReference w:type="first" r:id="rId10"/>
      <w:footnotePr/>
      <w:endnotePr/>
      <w:type w:val="nextPage"/>
      <w:pgSz w:w="11906" w:h="16838" w:orient="portrait"/>
      <w:pgMar w:top="1134" w:right="1134" w:bottom="1134" w:left="1701" w:header="720" w:footer="0" w:gutter="0"/>
      <w:cols w:num="1" w:sep="0" w:space="1701" w:equalWidth="1"/>
      <w:docGrid w:linePitch="36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Iosevka Term SS03;Times New Roman">
    <w:panose1 w:val="00000700000000000000"/>
  </w:font>
  <w:font w:name="Tahoma">
    <w:panose1 w:val="020B0604030504040204"/>
  </w:font>
  <w:font w:name="Wingdings">
    <w:panose1 w:val="05010000000000000000"/>
  </w:font>
  <w:font w:name="Symbol">
    <w:panose1 w:val="05010000000000000000"/>
  </w:font>
  <w:font w:name="Open Sans;Arial">
    <w:panose1 w:val="020B0606030504020204"/>
  </w:font>
  <w:font w:name="OpenSymbol">
    <w:panose1 w:val="05010000000000000000"/>
  </w:font>
  <w:font w:name="Courier New">
    <w:panose1 w:val="02070309020205020404"/>
  </w:font>
  <w:font w:name="Times New Roman">
    <w:panose1 w:val="02020603050405020304"/>
  </w:font>
  <w:font w:name="Liberation Sans;Arial">
    <w:panose1 w:val="020B0604020202020204"/>
  </w:font>
  <w:font w:name="Calibri">
    <w:panose1 w:val="020F0502020204030204"/>
  </w:font>
  <w:font w:name="Arial">
    <w:panose1 w:val="020B0604020202020204"/>
  </w:font>
  <w:font w:name="DejaVu Sans">
    <w:panose1 w:val="020B0603030804020204"/>
  </w:font>
  <w:font w:name="Lohit Devanagari;Times New Roman">
    <w:panose1 w:val="020B0600000000000000"/>
  </w:font>
  <w:font w:name="FreeSans">
    <w:panose1 w:val="020B0504020202020204"/>
  </w:font>
  <w:font w:name="Liberation Serif">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5"/>
      <w:jc w:val="center"/>
      <w:spacing w:before="0" w:after="160"/>
    </w:pPr>
    <w:r>
      <w:fldChar w:fldCharType="begin"/>
    </w:r>
    <w:r>
      <w:instrText xml:space="preserve"> PAGE </w:instrText>
    </w:r>
    <w:r>
      <w:fldChar w:fldCharType="separate"/>
    </w:r>
    <w:r>
      <w:t xml:space="preserve">31</w:t>
    </w:r>
    <w: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5"/>
      <w:spacing w:before="0" w:after="160"/>
      <w:suppressLineNumbers/>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none"/>
      <w:pStyle w:val="860"/>
      <w:isLgl w:val="false"/>
      <w:suff w:val="nothing"/>
      <w:lvlText w:val="%1"/>
      <w:lvlJc w:val="left"/>
      <w:pPr>
        <w:ind w:left="0" w:firstLine="0"/>
        <w:tabs>
          <w:tab w:val="num" w:pos="0" w:leader="none"/>
        </w:tabs>
      </w:pPr>
    </w:lvl>
    <w:lvl w:ilvl="1">
      <w:start w:val="1"/>
      <w:numFmt w:val="none"/>
      <w:isLgl w:val="false"/>
      <w:suff w:val="nothing"/>
      <w:lvlText w:val="%2"/>
      <w:lvlJc w:val="left"/>
      <w:pPr>
        <w:ind w:left="0" w:firstLine="0"/>
        <w:tabs>
          <w:tab w:val="num" w:pos="0" w:leader="none"/>
        </w:tabs>
      </w:pPr>
    </w:lvl>
    <w:lvl w:ilvl="2">
      <w:start w:val="1"/>
      <w:numFmt w:val="none"/>
      <w:pStyle w:val="861"/>
      <w:isLgl w:val="false"/>
      <w:suff w:val="nothing"/>
      <w:lvlText w:val="%3"/>
      <w:lvlJc w:val="left"/>
      <w:pPr>
        <w:ind w:left="0" w:firstLine="0"/>
        <w:tabs>
          <w:tab w:val="num" w:pos="0" w:leader="none"/>
        </w:tabs>
      </w:pPr>
    </w:lvl>
    <w:lvl w:ilvl="3">
      <w:start w:val="1"/>
      <w:numFmt w:val="none"/>
      <w:isLgl w:val="false"/>
      <w:suff w:val="nothing"/>
      <w:lvlText w:val="%4"/>
      <w:lvlJc w:val="left"/>
      <w:pPr>
        <w:ind w:left="0" w:firstLine="0"/>
        <w:tabs>
          <w:tab w:val="num" w:pos="0" w:leader="none"/>
        </w:tabs>
      </w:pPr>
    </w:lvl>
    <w:lvl w:ilvl="4">
      <w:start w:val="1"/>
      <w:numFmt w:val="none"/>
      <w:isLgl w:val="false"/>
      <w:suff w:val="nothing"/>
      <w:lvlText w:val="%5"/>
      <w:lvlJc w:val="left"/>
      <w:pPr>
        <w:ind w:left="0" w:firstLine="0"/>
        <w:tabs>
          <w:tab w:val="num" w:pos="0" w:leader="none"/>
        </w:tabs>
      </w:pPr>
    </w:lvl>
    <w:lvl w:ilvl="5">
      <w:start w:val="1"/>
      <w:numFmt w:val="none"/>
      <w:isLgl w:val="false"/>
      <w:suff w:val="nothing"/>
      <w:lvlText w:val="%6"/>
      <w:lvlJc w:val="left"/>
      <w:pPr>
        <w:ind w:left="0" w:firstLine="0"/>
        <w:tabs>
          <w:tab w:val="num" w:pos="0" w:leader="none"/>
        </w:tabs>
      </w:pPr>
    </w:lvl>
    <w:lvl w:ilvl="6">
      <w:start w:val="1"/>
      <w:numFmt w:val="none"/>
      <w:isLgl w:val="false"/>
      <w:suff w:val="nothing"/>
      <w:lvlText w:val="%7"/>
      <w:lvlJc w:val="left"/>
      <w:pPr>
        <w:ind w:left="0" w:firstLine="0"/>
        <w:tabs>
          <w:tab w:val="num" w:pos="0" w:leader="none"/>
        </w:tabs>
      </w:pPr>
    </w:lvl>
    <w:lvl w:ilvl="7">
      <w:start w:val="1"/>
      <w:numFmt w:val="none"/>
      <w:isLgl w:val="false"/>
      <w:suff w:val="nothing"/>
      <w:lvlText w:val="%8"/>
      <w:lvlJc w:val="left"/>
      <w:pPr>
        <w:ind w:left="0" w:firstLine="0"/>
        <w:tabs>
          <w:tab w:val="num" w:pos="0" w:leader="none"/>
        </w:tabs>
      </w:pPr>
    </w:lvl>
    <w:lvl w:ilvl="8">
      <w:start w:val="1"/>
      <w:numFmt w:val="none"/>
      <w:isLgl w:val="false"/>
      <w:suff w:val="nothing"/>
      <w:lvlText w:val="%9"/>
      <w:lvlJc w:val="left"/>
      <w:pPr>
        <w:ind w:left="0" w:firstLine="0"/>
        <w:tabs>
          <w:tab w:val="num" w:pos="0" w:leader="none"/>
        </w:tabs>
      </w:pPr>
    </w:lvl>
  </w:abstractNum>
  <w:abstractNum w:abstractNumId="1">
    <w:multiLevelType w:val="hybridMultilevel"/>
    <w:lvl w:ilvl="0">
      <w:start w:val="1"/>
      <w:numFmt w:val="decimal"/>
      <w:isLgl w:val="false"/>
      <w:suff w:val="tab"/>
      <w:lvlText w:val="%1."/>
      <w:lvlJc w:val="left"/>
      <w:pPr>
        <w:ind w:left="720" w:hanging="360"/>
        <w:tabs>
          <w:tab w:val="num" w:pos="720" w:leader="none"/>
        </w:tabs>
      </w:pPr>
    </w:lvl>
    <w:lvl w:ilvl="1">
      <w:start w:val="1"/>
      <w:numFmt w:val="bullet"/>
      <w:isLgl w:val="false"/>
      <w:suff w:val="tab"/>
      <w:lvlText w:val="o"/>
      <w:lvlJc w:val="left"/>
      <w:pPr>
        <w:ind w:left="1440" w:hanging="360"/>
        <w:tabs>
          <w:tab w:val="num" w:pos="1440" w:leader="none"/>
        </w:tabs>
      </w:pPr>
      <w:rPr>
        <w:rFonts w:hint="default" w:ascii="Courier New" w:hAnsi="Courier New" w:cs="Courier New"/>
        <w:sz w:val="20"/>
      </w:rPr>
    </w:lvl>
    <w:lvl w:ilvl="2">
      <w:start w:val="1"/>
      <w:numFmt w:val="decimal"/>
      <w:isLgl w:val="false"/>
      <w:suff w:val="tab"/>
      <w:lvlText w:val="%3."/>
      <w:lvlJc w:val="left"/>
      <w:pPr>
        <w:ind w:left="2160" w:hanging="36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decimal"/>
      <w:isLgl w:val="false"/>
      <w:suff w:val="tab"/>
      <w:lvlText w:val="%5."/>
      <w:lvlJc w:val="left"/>
      <w:pPr>
        <w:ind w:left="3600" w:hanging="360"/>
        <w:tabs>
          <w:tab w:val="num" w:pos="3600" w:leader="none"/>
        </w:tabs>
      </w:pPr>
    </w:lvl>
    <w:lvl w:ilvl="5">
      <w:start w:val="1"/>
      <w:numFmt w:val="decimal"/>
      <w:isLgl w:val="false"/>
      <w:suff w:val="tab"/>
      <w:lvlText w:val="%6."/>
      <w:lvlJc w:val="left"/>
      <w:pPr>
        <w:ind w:left="4320" w:hanging="36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decimal"/>
      <w:isLgl w:val="false"/>
      <w:suff w:val="tab"/>
      <w:lvlText w:val="%8."/>
      <w:lvlJc w:val="left"/>
      <w:pPr>
        <w:ind w:left="5760" w:hanging="360"/>
        <w:tabs>
          <w:tab w:val="num" w:pos="5760" w:leader="none"/>
        </w:tabs>
      </w:pPr>
    </w:lvl>
    <w:lvl w:ilvl="8">
      <w:start w:val="1"/>
      <w:numFmt w:val="decimal"/>
      <w:isLgl w:val="false"/>
      <w:suff w:val="tab"/>
      <w:lvlText w:val="%9."/>
      <w:lvlJc w:val="left"/>
      <w:pPr>
        <w:ind w:left="6480" w:hanging="360"/>
        <w:tabs>
          <w:tab w:val="num" w:pos="6480" w:leader="none"/>
        </w:tabs>
      </w:pPr>
    </w:lvl>
  </w:abstractNum>
  <w:abstractNum w:abstractNumId="2">
    <w:multiLevelType w:val="hybridMultilevel"/>
    <w:lvl w:ilvl="0">
      <w:start w:val="1"/>
      <w:numFmt w:val="upperRoman"/>
      <w:isLgl w:val="false"/>
      <w:suff w:val="tab"/>
      <w:lvlText w:val="%1."/>
      <w:lvlJc w:val="left"/>
      <w:pPr>
        <w:ind w:left="1770" w:hanging="360"/>
        <w:tabs>
          <w:tab w:val="num" w:pos="1770" w:leader="none"/>
        </w:tabs>
      </w:pPr>
    </w:lvl>
    <w:lvl w:ilvl="1">
      <w:start w:val="1"/>
      <w:numFmt w:val="decimal"/>
      <w:isLgl w:val="false"/>
      <w:suff w:val="tab"/>
      <w:lvlText w:val="%2."/>
      <w:lvlJc w:val="left"/>
      <w:pPr>
        <w:ind w:left="2130" w:hanging="360"/>
        <w:tabs>
          <w:tab w:val="num" w:pos="2130" w:leader="none"/>
        </w:tabs>
      </w:pPr>
    </w:lvl>
    <w:lvl w:ilvl="2">
      <w:start w:val="1"/>
      <w:numFmt w:val="decimal"/>
      <w:isLgl w:val="false"/>
      <w:suff w:val="tab"/>
      <w:lvlText w:val="%3."/>
      <w:lvlJc w:val="left"/>
      <w:pPr>
        <w:ind w:left="2490" w:hanging="360"/>
        <w:tabs>
          <w:tab w:val="num" w:pos="2490" w:leader="none"/>
        </w:tabs>
      </w:pPr>
    </w:lvl>
    <w:lvl w:ilvl="3">
      <w:start w:val="1"/>
      <w:numFmt w:val="decimal"/>
      <w:isLgl w:val="false"/>
      <w:suff w:val="tab"/>
      <w:lvlText w:val="%4."/>
      <w:lvlJc w:val="left"/>
      <w:pPr>
        <w:ind w:left="2850" w:hanging="360"/>
        <w:tabs>
          <w:tab w:val="num" w:pos="2850" w:leader="none"/>
        </w:tabs>
      </w:pPr>
    </w:lvl>
    <w:lvl w:ilvl="4">
      <w:start w:val="1"/>
      <w:numFmt w:val="decimal"/>
      <w:isLgl w:val="false"/>
      <w:suff w:val="tab"/>
      <w:lvlText w:val="%5."/>
      <w:lvlJc w:val="left"/>
      <w:pPr>
        <w:ind w:left="3210" w:hanging="360"/>
        <w:tabs>
          <w:tab w:val="num" w:pos="3210" w:leader="none"/>
        </w:tabs>
      </w:pPr>
    </w:lvl>
    <w:lvl w:ilvl="5">
      <w:start w:val="1"/>
      <w:numFmt w:val="decimal"/>
      <w:isLgl w:val="false"/>
      <w:suff w:val="tab"/>
      <w:lvlText w:val="%6."/>
      <w:lvlJc w:val="left"/>
      <w:pPr>
        <w:ind w:left="3570" w:hanging="360"/>
        <w:tabs>
          <w:tab w:val="num" w:pos="3570" w:leader="none"/>
        </w:tabs>
      </w:pPr>
    </w:lvl>
    <w:lvl w:ilvl="6">
      <w:start w:val="1"/>
      <w:numFmt w:val="decimal"/>
      <w:isLgl w:val="false"/>
      <w:suff w:val="tab"/>
      <w:lvlText w:val="%7."/>
      <w:lvlJc w:val="left"/>
      <w:pPr>
        <w:ind w:left="3930" w:hanging="360"/>
        <w:tabs>
          <w:tab w:val="num" w:pos="3930" w:leader="none"/>
        </w:tabs>
      </w:pPr>
    </w:lvl>
    <w:lvl w:ilvl="7">
      <w:start w:val="1"/>
      <w:numFmt w:val="decimal"/>
      <w:isLgl w:val="false"/>
      <w:suff w:val="tab"/>
      <w:lvlText w:val="%8."/>
      <w:lvlJc w:val="left"/>
      <w:pPr>
        <w:ind w:left="4290" w:hanging="360"/>
        <w:tabs>
          <w:tab w:val="num" w:pos="4290" w:leader="none"/>
        </w:tabs>
      </w:pPr>
    </w:lvl>
    <w:lvl w:ilvl="8">
      <w:start w:val="1"/>
      <w:numFmt w:val="decimal"/>
      <w:isLgl w:val="false"/>
      <w:suff w:val="tab"/>
      <w:lvlText w:val="%9."/>
      <w:lvlJc w:val="left"/>
      <w:pPr>
        <w:ind w:left="4650" w:hanging="360"/>
        <w:tabs>
          <w:tab w:val="num" w:pos="4650" w:leader="none"/>
        </w:tabs>
      </w:pPr>
    </w:lvl>
  </w:abstractNum>
  <w:abstractNum w:abstractNumId="3">
    <w:multiLevelType w:val="hybridMultilevel"/>
    <w:lvl w:ilvl="0">
      <w:start w:val="1"/>
      <w:numFmt w:val="upperRoman"/>
      <w:isLgl w:val="false"/>
      <w:suff w:val="tab"/>
      <w:lvlText w:val="%1."/>
      <w:lvlJc w:val="left"/>
      <w:pPr>
        <w:ind w:left="720" w:hanging="360"/>
        <w:tabs>
          <w:tab w:val="num" w:pos="720" w:leader="none"/>
        </w:tabs>
      </w:pPr>
    </w:lvl>
    <w:lvl w:ilvl="1">
      <w:start w:val="1"/>
      <w:numFmt w:val="decimal"/>
      <w:isLgl w:val="false"/>
      <w:suff w:val="tab"/>
      <w:lvlText w:val="%2."/>
      <w:lvlJc w:val="left"/>
      <w:pPr>
        <w:ind w:left="1080" w:hanging="360"/>
        <w:tabs>
          <w:tab w:val="num" w:pos="1080" w:leader="none"/>
        </w:tabs>
      </w:pPr>
    </w:lvl>
    <w:lvl w:ilvl="2">
      <w:start w:val="1"/>
      <w:numFmt w:val="decimal"/>
      <w:isLgl w:val="false"/>
      <w:suff w:val="tab"/>
      <w:lvlText w:val="%3."/>
      <w:lvlJc w:val="left"/>
      <w:pPr>
        <w:ind w:left="1440" w:hanging="360"/>
        <w:tabs>
          <w:tab w:val="num" w:pos="1440" w:leader="none"/>
        </w:tabs>
      </w:pPr>
    </w:lvl>
    <w:lvl w:ilvl="3">
      <w:start w:val="1"/>
      <w:numFmt w:val="decimal"/>
      <w:isLgl w:val="false"/>
      <w:suff w:val="tab"/>
      <w:lvlText w:val="%4."/>
      <w:lvlJc w:val="left"/>
      <w:pPr>
        <w:ind w:left="1800" w:hanging="360"/>
        <w:tabs>
          <w:tab w:val="num" w:pos="1800" w:leader="none"/>
        </w:tabs>
      </w:pPr>
    </w:lvl>
    <w:lvl w:ilvl="4">
      <w:start w:val="1"/>
      <w:numFmt w:val="decimal"/>
      <w:isLgl w:val="false"/>
      <w:suff w:val="tab"/>
      <w:lvlText w:val="%5."/>
      <w:lvlJc w:val="left"/>
      <w:pPr>
        <w:ind w:left="2160" w:hanging="360"/>
        <w:tabs>
          <w:tab w:val="num" w:pos="2160" w:leader="none"/>
        </w:tabs>
      </w:pPr>
    </w:lvl>
    <w:lvl w:ilvl="5">
      <w:start w:val="1"/>
      <w:numFmt w:val="decimal"/>
      <w:isLgl w:val="false"/>
      <w:suff w:val="tab"/>
      <w:lvlText w:val="%6."/>
      <w:lvlJc w:val="left"/>
      <w:pPr>
        <w:ind w:left="2520" w:hanging="360"/>
        <w:tabs>
          <w:tab w:val="num" w:pos="2520" w:leader="none"/>
        </w:tabs>
      </w:pPr>
    </w:lvl>
    <w:lvl w:ilvl="6">
      <w:start w:val="1"/>
      <w:numFmt w:val="decimal"/>
      <w:isLgl w:val="false"/>
      <w:suff w:val="tab"/>
      <w:lvlText w:val="%7."/>
      <w:lvlJc w:val="left"/>
      <w:pPr>
        <w:ind w:left="2880" w:hanging="360"/>
        <w:tabs>
          <w:tab w:val="num" w:pos="2880" w:leader="none"/>
        </w:tabs>
      </w:pPr>
    </w:lvl>
    <w:lvl w:ilvl="7">
      <w:start w:val="1"/>
      <w:numFmt w:val="decimal"/>
      <w:isLgl w:val="false"/>
      <w:suff w:val="tab"/>
      <w:lvlText w:val="%8."/>
      <w:lvlJc w:val="left"/>
      <w:pPr>
        <w:ind w:left="3240" w:hanging="360"/>
        <w:tabs>
          <w:tab w:val="num" w:pos="3240" w:leader="none"/>
        </w:tabs>
      </w:pPr>
    </w:lvl>
    <w:lvl w:ilvl="8">
      <w:start w:val="1"/>
      <w:numFmt w:val="decimal"/>
      <w:isLgl w:val="false"/>
      <w:suff w:val="tab"/>
      <w:lvlText w:val="%9."/>
      <w:lvlJc w:val="left"/>
      <w:pPr>
        <w:ind w:left="3600" w:hanging="360"/>
        <w:tabs>
          <w:tab w:val="num" w:pos="3600" w:leader="none"/>
        </w:tabs>
      </w:pPr>
    </w:lvl>
  </w:abstractNum>
  <w:abstractNum w:abstractNumId="4">
    <w:multiLevelType w:val="hybridMultilevel"/>
    <w:lvl w:ilvl="0">
      <w:start w:val="1"/>
      <w:numFmt w:val="bullet"/>
      <w:isLgl w:val="false"/>
      <w:suff w:val="tab"/>
      <w:lvlText w:val=""/>
      <w:lvlJc w:val="left"/>
      <w:pPr>
        <w:ind w:left="720" w:hanging="360"/>
        <w:tabs>
          <w:tab w:val="num" w:pos="720" w:leader="none"/>
        </w:tabs>
      </w:pPr>
      <w:rPr>
        <w:rFonts w:hint="default" w:ascii="Symbol" w:hAnsi="Symbol" w:cs="Symbol"/>
      </w:rPr>
    </w:lvl>
    <w:lvl w:ilvl="1">
      <w:start w:val="1"/>
      <w:numFmt w:val="bullet"/>
      <w:isLgl w:val="false"/>
      <w:suff w:val="tab"/>
      <w:lvlText w:val="◦"/>
      <w:lvlJc w:val="left"/>
      <w:pPr>
        <w:ind w:left="1080" w:hanging="360"/>
        <w:tabs>
          <w:tab w:val="num" w:pos="1080" w:leader="none"/>
        </w:tabs>
      </w:pPr>
      <w:rPr>
        <w:rFonts w:hint="default" w:ascii="OpenSymbol" w:hAnsi="OpenSymbol" w:cs="OpenSymbol"/>
      </w:rPr>
    </w:lvl>
    <w:lvl w:ilvl="2">
      <w:start w:val="1"/>
      <w:numFmt w:val="bullet"/>
      <w:isLgl w:val="false"/>
      <w:suff w:val="tab"/>
      <w:lvlText w:val="▪"/>
      <w:lvlJc w:val="left"/>
      <w:pPr>
        <w:ind w:left="1440" w:hanging="360"/>
        <w:tabs>
          <w:tab w:val="num" w:pos="1440" w:leader="none"/>
        </w:tabs>
      </w:pPr>
      <w:rPr>
        <w:rFonts w:hint="default" w:ascii="OpenSymbol" w:hAnsi="OpenSymbol" w:cs="OpenSymbol"/>
      </w:rPr>
    </w:lvl>
    <w:lvl w:ilvl="3">
      <w:start w:val="1"/>
      <w:numFmt w:val="bullet"/>
      <w:isLgl w:val="false"/>
      <w:suff w:val="tab"/>
      <w:lvlText w:val=""/>
      <w:lvlJc w:val="left"/>
      <w:pPr>
        <w:ind w:left="1800" w:hanging="360"/>
        <w:tabs>
          <w:tab w:val="num" w:pos="1800" w:leader="none"/>
        </w:tabs>
      </w:pPr>
      <w:rPr>
        <w:rFonts w:hint="default" w:ascii="Symbol" w:hAnsi="Symbol" w:cs="Symbol"/>
      </w:rPr>
    </w:lvl>
    <w:lvl w:ilvl="4">
      <w:start w:val="1"/>
      <w:numFmt w:val="bullet"/>
      <w:isLgl w:val="false"/>
      <w:suff w:val="tab"/>
      <w:lvlText w:val="◦"/>
      <w:lvlJc w:val="left"/>
      <w:pPr>
        <w:ind w:left="2160" w:hanging="360"/>
        <w:tabs>
          <w:tab w:val="num" w:pos="2160" w:leader="none"/>
        </w:tabs>
      </w:pPr>
      <w:rPr>
        <w:rFonts w:hint="default" w:ascii="OpenSymbol" w:hAnsi="OpenSymbol" w:cs="OpenSymbol"/>
      </w:rPr>
    </w:lvl>
    <w:lvl w:ilvl="5">
      <w:start w:val="1"/>
      <w:numFmt w:val="bullet"/>
      <w:isLgl w:val="false"/>
      <w:suff w:val="tab"/>
      <w:lvlText w:val="▪"/>
      <w:lvlJc w:val="left"/>
      <w:pPr>
        <w:ind w:left="2520" w:hanging="360"/>
        <w:tabs>
          <w:tab w:val="num" w:pos="2520" w:leader="none"/>
        </w:tabs>
      </w:pPr>
      <w:rPr>
        <w:rFonts w:hint="default" w:ascii="OpenSymbol" w:hAnsi="OpenSymbol" w:cs="OpenSymbol"/>
      </w:rPr>
    </w:lvl>
    <w:lvl w:ilvl="6">
      <w:start w:val="1"/>
      <w:numFmt w:val="bullet"/>
      <w:isLgl w:val="false"/>
      <w:suff w:val="tab"/>
      <w:lvlText w:val=""/>
      <w:lvlJc w:val="left"/>
      <w:pPr>
        <w:ind w:left="2880" w:hanging="360"/>
        <w:tabs>
          <w:tab w:val="num" w:pos="2880" w:leader="none"/>
        </w:tabs>
      </w:pPr>
      <w:rPr>
        <w:rFonts w:hint="default" w:ascii="Symbol" w:hAnsi="Symbol" w:cs="Symbol"/>
      </w:rPr>
    </w:lvl>
    <w:lvl w:ilvl="7">
      <w:start w:val="1"/>
      <w:numFmt w:val="bullet"/>
      <w:isLgl w:val="false"/>
      <w:suff w:val="tab"/>
      <w:lvlText w:val="◦"/>
      <w:lvlJc w:val="left"/>
      <w:pPr>
        <w:ind w:left="3240" w:hanging="360"/>
        <w:tabs>
          <w:tab w:val="num" w:pos="3240" w:leader="none"/>
        </w:tabs>
      </w:pPr>
      <w:rPr>
        <w:rFonts w:hint="default" w:ascii="OpenSymbol" w:hAnsi="OpenSymbol" w:cs="OpenSymbol"/>
      </w:rPr>
    </w:lvl>
    <w:lvl w:ilvl="8">
      <w:start w:val="1"/>
      <w:numFmt w:val="bullet"/>
      <w:isLgl w:val="false"/>
      <w:suff w:val="tab"/>
      <w:lvlText w:val="▪"/>
      <w:lvlJc w:val="left"/>
      <w:pPr>
        <w:ind w:left="3600" w:hanging="360"/>
        <w:tabs>
          <w:tab w:val="num" w:pos="3600" w:leader="none"/>
        </w:tabs>
      </w:pPr>
      <w:rPr>
        <w:rFonts w:hint="default" w:ascii="OpenSymbol" w:hAnsi="OpenSymbol" w:cs="OpenSymbol"/>
      </w:rPr>
    </w:lvl>
  </w:abstractNum>
  <w:abstractNum w:abstractNumId="5">
    <w:multiLevelType w:val="hybridMultilevel"/>
    <w:lvl w:ilvl="0">
      <w:start w:val="1"/>
      <w:numFmt w:val="none"/>
      <w:isLgl w:val="false"/>
      <w:suff w:val="nothing"/>
      <w:lvlText w:val=""/>
      <w:lvlJc w:val="left"/>
      <w:pPr>
        <w:ind w:left="0" w:firstLine="0"/>
        <w:tabs>
          <w:tab w:val="num" w:pos="0" w:leader="none"/>
        </w:tabs>
      </w:pPr>
    </w:lvl>
    <w:lvl w:ilvl="1">
      <w:start w:val="1"/>
      <w:numFmt w:val="none"/>
      <w:isLgl w:val="false"/>
      <w:suff w:val="nothing"/>
      <w:lvlText w:val=""/>
      <w:lvlJc w:val="left"/>
      <w:pPr>
        <w:ind w:left="0" w:firstLine="0"/>
        <w:tabs>
          <w:tab w:val="num" w:pos="0" w:leader="none"/>
        </w:tabs>
      </w:pPr>
    </w:lvl>
    <w:lvl w:ilvl="2">
      <w:start w:val="1"/>
      <w:numFmt w:val="none"/>
      <w:isLgl w:val="false"/>
      <w:suff w:val="nothing"/>
      <w:lvlText w:val=""/>
      <w:lvlJc w:val="left"/>
      <w:pPr>
        <w:ind w:left="0" w:firstLine="0"/>
        <w:tabs>
          <w:tab w:val="num" w:pos="0" w:leader="none"/>
        </w:tabs>
      </w:pPr>
    </w:lvl>
    <w:lvl w:ilvl="3">
      <w:start w:val="1"/>
      <w:numFmt w:val="none"/>
      <w:isLgl w:val="false"/>
      <w:suff w:val="nothing"/>
      <w:lvlText w:val=""/>
      <w:lvlJc w:val="left"/>
      <w:pPr>
        <w:ind w:left="0" w:firstLine="0"/>
        <w:tabs>
          <w:tab w:val="num" w:pos="0" w:leader="none"/>
        </w:tabs>
      </w:pPr>
    </w:lvl>
    <w:lvl w:ilvl="4">
      <w:start w:val="1"/>
      <w:numFmt w:val="none"/>
      <w:isLgl w:val="false"/>
      <w:suff w:val="nothing"/>
      <w:lvlText w:val=""/>
      <w:lvlJc w:val="left"/>
      <w:pPr>
        <w:ind w:left="0" w:firstLine="0"/>
        <w:tabs>
          <w:tab w:val="num" w:pos="0" w:leader="none"/>
        </w:tabs>
      </w:pPr>
    </w:lvl>
    <w:lvl w:ilvl="5">
      <w:start w:val="1"/>
      <w:numFmt w:val="none"/>
      <w:isLgl w:val="false"/>
      <w:suff w:val="nothing"/>
      <w:lvlText w:val=""/>
      <w:lvlJc w:val="left"/>
      <w:pPr>
        <w:ind w:left="0" w:firstLine="0"/>
        <w:tabs>
          <w:tab w:val="num" w:pos="0" w:leader="none"/>
        </w:tabs>
      </w:pPr>
    </w:lvl>
    <w:lvl w:ilvl="6">
      <w:start w:val="1"/>
      <w:numFmt w:val="none"/>
      <w:isLgl w:val="false"/>
      <w:suff w:val="nothing"/>
      <w:lvlText w:val=""/>
      <w:lvlJc w:val="left"/>
      <w:pPr>
        <w:ind w:left="0" w:firstLine="0"/>
        <w:tabs>
          <w:tab w:val="num" w:pos="0" w:leader="none"/>
        </w:tabs>
      </w:pPr>
    </w:lvl>
    <w:lvl w:ilvl="7">
      <w:start w:val="1"/>
      <w:numFmt w:val="none"/>
      <w:isLgl w:val="false"/>
      <w:suff w:val="nothing"/>
      <w:lvlText w:val=""/>
      <w:lvlJc w:val="left"/>
      <w:pPr>
        <w:ind w:left="0" w:firstLine="0"/>
        <w:tabs>
          <w:tab w:val="num" w:pos="0" w:leader="none"/>
        </w:tabs>
      </w:pPr>
    </w:lvl>
    <w:lvl w:ilvl="8">
      <w:start w:val="1"/>
      <w:numFmt w:val="none"/>
      <w:isLgl w:val="false"/>
      <w:suff w:val="nothing"/>
      <w:lvlText w:val=""/>
      <w:lvlJc w:val="left"/>
      <w:pPr>
        <w:ind w:left="0" w:firstLine="0"/>
        <w:tabs>
          <w:tab w:val="num" w:pos="0" w:leader="none"/>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DejaVu Sans" w:cs="FreeSans"/>
        <w:sz w:val="24"/>
        <w:szCs w:val="24"/>
        <w:lang w:val="ru-RU" w:eastAsia="zh-CN" w:bidi="hi-IN"/>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90">
    <w:name w:val="Heading 1 Char"/>
    <w:link w:val="860"/>
    <w:uiPriority w:val="9"/>
    <w:rPr>
      <w:rFonts w:ascii="Arial" w:hAnsi="Arial" w:eastAsia="Arial" w:cs="Arial"/>
      <w:sz w:val="40"/>
      <w:szCs w:val="40"/>
    </w:rPr>
  </w:style>
  <w:style w:type="paragraph" w:styleId="691">
    <w:name w:val="Heading 2"/>
    <w:basedOn w:val="859"/>
    <w:next w:val="859"/>
    <w:link w:val="692"/>
    <w:uiPriority w:val="9"/>
    <w:unhideWhenUsed/>
    <w:qFormat/>
    <w:pPr>
      <w:keepLines/>
      <w:keepNext/>
      <w:spacing w:before="360" w:after="200"/>
      <w:outlineLvl w:val="1"/>
    </w:pPr>
    <w:rPr>
      <w:rFonts w:ascii="Arial" w:hAnsi="Arial" w:eastAsia="Arial" w:cs="Arial"/>
      <w:sz w:val="34"/>
    </w:rPr>
  </w:style>
  <w:style w:type="character" w:styleId="692">
    <w:name w:val="Heading 2 Char"/>
    <w:link w:val="691"/>
    <w:uiPriority w:val="9"/>
    <w:rPr>
      <w:rFonts w:ascii="Arial" w:hAnsi="Arial" w:eastAsia="Arial" w:cs="Arial"/>
      <w:sz w:val="34"/>
    </w:rPr>
  </w:style>
  <w:style w:type="character" w:styleId="693">
    <w:name w:val="Heading 3 Char"/>
    <w:link w:val="861"/>
    <w:uiPriority w:val="9"/>
    <w:rPr>
      <w:rFonts w:ascii="Arial" w:hAnsi="Arial" w:eastAsia="Arial" w:cs="Arial"/>
      <w:sz w:val="30"/>
      <w:szCs w:val="30"/>
    </w:rPr>
  </w:style>
  <w:style w:type="paragraph" w:styleId="694">
    <w:name w:val="Heading 4"/>
    <w:basedOn w:val="859"/>
    <w:next w:val="859"/>
    <w:link w:val="695"/>
    <w:uiPriority w:val="9"/>
    <w:unhideWhenUsed/>
    <w:qFormat/>
    <w:pPr>
      <w:keepLines/>
      <w:keepNext/>
      <w:spacing w:before="320" w:after="200"/>
      <w:outlineLvl w:val="3"/>
    </w:pPr>
    <w:rPr>
      <w:rFonts w:ascii="Arial" w:hAnsi="Arial" w:eastAsia="Arial" w:cs="Arial"/>
      <w:b/>
      <w:bCs/>
      <w:sz w:val="26"/>
      <w:szCs w:val="26"/>
    </w:rPr>
  </w:style>
  <w:style w:type="character" w:styleId="695">
    <w:name w:val="Heading 4 Char"/>
    <w:link w:val="694"/>
    <w:uiPriority w:val="9"/>
    <w:rPr>
      <w:rFonts w:ascii="Arial" w:hAnsi="Arial" w:eastAsia="Arial" w:cs="Arial"/>
      <w:b/>
      <w:bCs/>
      <w:sz w:val="26"/>
      <w:szCs w:val="26"/>
    </w:rPr>
  </w:style>
  <w:style w:type="paragraph" w:styleId="696">
    <w:name w:val="Heading 5"/>
    <w:basedOn w:val="859"/>
    <w:next w:val="859"/>
    <w:link w:val="697"/>
    <w:uiPriority w:val="9"/>
    <w:unhideWhenUsed/>
    <w:qFormat/>
    <w:pPr>
      <w:keepLines/>
      <w:keepNext/>
      <w:spacing w:before="320" w:after="200"/>
      <w:outlineLvl w:val="4"/>
    </w:pPr>
    <w:rPr>
      <w:rFonts w:ascii="Arial" w:hAnsi="Arial" w:eastAsia="Arial" w:cs="Arial"/>
      <w:b/>
      <w:bCs/>
      <w:sz w:val="24"/>
      <w:szCs w:val="24"/>
    </w:rPr>
  </w:style>
  <w:style w:type="character" w:styleId="697">
    <w:name w:val="Heading 5 Char"/>
    <w:link w:val="696"/>
    <w:uiPriority w:val="9"/>
    <w:rPr>
      <w:rFonts w:ascii="Arial" w:hAnsi="Arial" w:eastAsia="Arial" w:cs="Arial"/>
      <w:b/>
      <w:bCs/>
      <w:sz w:val="24"/>
      <w:szCs w:val="24"/>
    </w:rPr>
  </w:style>
  <w:style w:type="paragraph" w:styleId="698">
    <w:name w:val="Heading 6"/>
    <w:basedOn w:val="859"/>
    <w:next w:val="859"/>
    <w:link w:val="699"/>
    <w:uiPriority w:val="9"/>
    <w:unhideWhenUsed/>
    <w:qFormat/>
    <w:pPr>
      <w:keepLines/>
      <w:keepNext/>
      <w:spacing w:before="320" w:after="200"/>
      <w:outlineLvl w:val="5"/>
    </w:pPr>
    <w:rPr>
      <w:rFonts w:ascii="Arial" w:hAnsi="Arial" w:eastAsia="Arial" w:cs="Arial"/>
      <w:b/>
      <w:bCs/>
      <w:sz w:val="22"/>
      <w:szCs w:val="22"/>
    </w:rPr>
  </w:style>
  <w:style w:type="character" w:styleId="699">
    <w:name w:val="Heading 6 Char"/>
    <w:link w:val="698"/>
    <w:uiPriority w:val="9"/>
    <w:rPr>
      <w:rFonts w:ascii="Arial" w:hAnsi="Arial" w:eastAsia="Arial" w:cs="Arial"/>
      <w:b/>
      <w:bCs/>
      <w:sz w:val="22"/>
      <w:szCs w:val="22"/>
    </w:rPr>
  </w:style>
  <w:style w:type="paragraph" w:styleId="700">
    <w:name w:val="Heading 7"/>
    <w:basedOn w:val="859"/>
    <w:next w:val="859"/>
    <w:link w:val="701"/>
    <w:uiPriority w:val="9"/>
    <w:unhideWhenUsed/>
    <w:qFormat/>
    <w:pPr>
      <w:keepLines/>
      <w:keepNext/>
      <w:spacing w:before="320" w:after="200"/>
      <w:outlineLvl w:val="6"/>
    </w:pPr>
    <w:rPr>
      <w:rFonts w:ascii="Arial" w:hAnsi="Arial" w:eastAsia="Arial" w:cs="Arial"/>
      <w:b/>
      <w:bCs/>
      <w:i/>
      <w:iCs/>
      <w:sz w:val="22"/>
      <w:szCs w:val="22"/>
    </w:rPr>
  </w:style>
  <w:style w:type="character" w:styleId="701">
    <w:name w:val="Heading 7 Char"/>
    <w:link w:val="700"/>
    <w:uiPriority w:val="9"/>
    <w:rPr>
      <w:rFonts w:ascii="Arial" w:hAnsi="Arial" w:eastAsia="Arial" w:cs="Arial"/>
      <w:b/>
      <w:bCs/>
      <w:i/>
      <w:iCs/>
      <w:sz w:val="22"/>
      <w:szCs w:val="22"/>
    </w:rPr>
  </w:style>
  <w:style w:type="paragraph" w:styleId="702">
    <w:name w:val="Heading 8"/>
    <w:basedOn w:val="859"/>
    <w:next w:val="859"/>
    <w:link w:val="703"/>
    <w:uiPriority w:val="9"/>
    <w:unhideWhenUsed/>
    <w:qFormat/>
    <w:pPr>
      <w:keepLines/>
      <w:keepNext/>
      <w:spacing w:before="320" w:after="200"/>
      <w:outlineLvl w:val="7"/>
    </w:pPr>
    <w:rPr>
      <w:rFonts w:ascii="Arial" w:hAnsi="Arial" w:eastAsia="Arial" w:cs="Arial"/>
      <w:i/>
      <w:iCs/>
      <w:sz w:val="22"/>
      <w:szCs w:val="22"/>
    </w:rPr>
  </w:style>
  <w:style w:type="character" w:styleId="703">
    <w:name w:val="Heading 8 Char"/>
    <w:link w:val="702"/>
    <w:uiPriority w:val="9"/>
    <w:rPr>
      <w:rFonts w:ascii="Arial" w:hAnsi="Arial" w:eastAsia="Arial" w:cs="Arial"/>
      <w:i/>
      <w:iCs/>
      <w:sz w:val="22"/>
      <w:szCs w:val="22"/>
    </w:rPr>
  </w:style>
  <w:style w:type="paragraph" w:styleId="704">
    <w:name w:val="Heading 9"/>
    <w:basedOn w:val="859"/>
    <w:next w:val="859"/>
    <w:link w:val="705"/>
    <w:uiPriority w:val="9"/>
    <w:unhideWhenUsed/>
    <w:qFormat/>
    <w:pPr>
      <w:keepLines/>
      <w:keepNext/>
      <w:spacing w:before="320" w:after="200"/>
      <w:outlineLvl w:val="8"/>
    </w:pPr>
    <w:rPr>
      <w:rFonts w:ascii="Arial" w:hAnsi="Arial" w:eastAsia="Arial" w:cs="Arial"/>
      <w:i/>
      <w:iCs/>
      <w:sz w:val="21"/>
      <w:szCs w:val="21"/>
    </w:rPr>
  </w:style>
  <w:style w:type="character" w:styleId="705">
    <w:name w:val="Heading 9 Char"/>
    <w:link w:val="704"/>
    <w:uiPriority w:val="9"/>
    <w:rPr>
      <w:rFonts w:ascii="Arial" w:hAnsi="Arial" w:eastAsia="Arial" w:cs="Arial"/>
      <w:i/>
      <w:iCs/>
      <w:sz w:val="21"/>
      <w:szCs w:val="21"/>
    </w:rPr>
  </w:style>
  <w:style w:type="paragraph" w:styleId="706">
    <w:name w:val="List Paragraph"/>
    <w:basedOn w:val="859"/>
    <w:uiPriority w:val="34"/>
    <w:qFormat/>
    <w:pPr>
      <w:contextualSpacing/>
      <w:ind w:left="720"/>
    </w:pPr>
  </w:style>
  <w:style w:type="character" w:styleId="707">
    <w:name w:val="Title Char"/>
    <w:link w:val="921"/>
    <w:uiPriority w:val="10"/>
    <w:rPr>
      <w:sz w:val="48"/>
      <w:szCs w:val="48"/>
    </w:rPr>
  </w:style>
  <w:style w:type="paragraph" w:styleId="708">
    <w:name w:val="Subtitle"/>
    <w:basedOn w:val="859"/>
    <w:next w:val="859"/>
    <w:link w:val="709"/>
    <w:uiPriority w:val="11"/>
    <w:qFormat/>
    <w:pPr>
      <w:spacing w:before="200" w:after="200"/>
    </w:pPr>
    <w:rPr>
      <w:sz w:val="24"/>
      <w:szCs w:val="24"/>
    </w:rPr>
  </w:style>
  <w:style w:type="character" w:styleId="709">
    <w:name w:val="Subtitle Char"/>
    <w:link w:val="708"/>
    <w:uiPriority w:val="11"/>
    <w:rPr>
      <w:sz w:val="24"/>
      <w:szCs w:val="24"/>
    </w:rPr>
  </w:style>
  <w:style w:type="paragraph" w:styleId="710">
    <w:name w:val="Quote"/>
    <w:basedOn w:val="859"/>
    <w:next w:val="859"/>
    <w:link w:val="711"/>
    <w:uiPriority w:val="29"/>
    <w:qFormat/>
    <w:pPr>
      <w:ind w:left="720" w:right="720"/>
    </w:pPr>
    <w:rPr>
      <w:i/>
    </w:rPr>
  </w:style>
  <w:style w:type="character" w:styleId="711">
    <w:name w:val="Quote Char"/>
    <w:link w:val="710"/>
    <w:uiPriority w:val="29"/>
    <w:rPr>
      <w:i/>
    </w:rPr>
  </w:style>
  <w:style w:type="paragraph" w:styleId="712">
    <w:name w:val="Intense Quote"/>
    <w:basedOn w:val="859"/>
    <w:next w:val="859"/>
    <w:link w:val="713"/>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713">
    <w:name w:val="Intense Quote Char"/>
    <w:link w:val="712"/>
    <w:uiPriority w:val="30"/>
    <w:rPr>
      <w:i/>
    </w:rPr>
  </w:style>
  <w:style w:type="character" w:styleId="714">
    <w:name w:val="Header Char"/>
    <w:link w:val="925"/>
    <w:uiPriority w:val="99"/>
  </w:style>
  <w:style w:type="character" w:styleId="715">
    <w:name w:val="Footer Char"/>
    <w:link w:val="926"/>
    <w:uiPriority w:val="99"/>
  </w:style>
  <w:style w:type="character" w:styleId="716">
    <w:name w:val="Caption Char"/>
    <w:basedOn w:val="886"/>
    <w:link w:val="926"/>
    <w:uiPriority w:val="99"/>
  </w:style>
  <w:style w:type="table" w:styleId="717">
    <w:name w:val="Table Grid"/>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718">
    <w:name w:val="Table Grid Light"/>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719">
    <w:name w:val="Plain Table 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20">
    <w:name w:val="Plain Table 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21">
    <w:name w:val="Plain Table 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22">
    <w:name w:val="Plain Table 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23">
    <w:name w:val="Plain Table 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724">
    <w:name w:val="Grid Table 1 Light"/>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25">
    <w:name w:val="Grid Table 1 Light - Accent 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26">
    <w:name w:val="Grid Table 1 Light - Accent 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27">
    <w:name w:val="Grid Table 1 Light - Accent 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28">
    <w:name w:val="Grid Table 1 Light - Accent 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29">
    <w:name w:val="Grid Table 1 Light - Accent 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30">
    <w:name w:val="Grid Table 1 Light - Accent 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31">
    <w:name w:val="Grid Table 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32">
    <w:name w:val="Grid Table 2 - Accent 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c3fdba" w:themeFill="accent1" w:themeFillTint="34"/>
      </w:tcPr>
    </w:tblStylePr>
    <w:tblStylePr w:type="band1Vert">
      <w:rPr>
        <w:rFonts w:ascii="Arial" w:hAnsi="Arial"/>
        <w:color w:val="404040"/>
        <w:sz w:val="22"/>
      </w:rPr>
      <w:tcPr>
        <w:shd w:val="clear" w:color="ffffff" w:themeColor="accent1" w:themeTint="34" w:fill="c3fdba"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33">
    <w:name w:val="Grid Table 2 - Accent 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bce7fd" w:themeFill="accent2" w:themeFillTint="32"/>
      </w:tcPr>
    </w:tblStylePr>
    <w:tblStylePr w:type="band1Vert">
      <w:rPr>
        <w:rFonts w:ascii="Arial" w:hAnsi="Arial"/>
        <w:color w:val="404040"/>
        <w:sz w:val="22"/>
      </w:rPr>
      <w:tcPr>
        <w:shd w:val="clear" w:color="ffffff" w:themeColor="accent2" w:themeTint="32" w:fill="bce7fd"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34">
    <w:name w:val="Grid Table 2 - Accent 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fdd2ba" w:themeFill="accent3" w:themeFillTint="34"/>
      </w:tcPr>
    </w:tblStylePr>
    <w:tblStylePr w:type="band1Vert">
      <w:rPr>
        <w:rFonts w:ascii="Arial" w:hAnsi="Arial"/>
        <w:color w:val="404040"/>
        <w:sz w:val="22"/>
      </w:rPr>
      <w:tcPr>
        <w:shd w:val="clear" w:color="ffffff" w:themeColor="accent3" w:themeTint="34" w:fill="fdd2ba"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35">
    <w:name w:val="Grid Table 2 - Accent 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3bafd" w:themeFill="accent4" w:themeFillTint="34"/>
      </w:tcPr>
    </w:tblStylePr>
    <w:tblStylePr w:type="band1Vert">
      <w:rPr>
        <w:rFonts w:ascii="Arial" w:hAnsi="Arial"/>
        <w:color w:val="404040"/>
        <w:sz w:val="22"/>
      </w:rPr>
      <w:tcPr>
        <w:shd w:val="clear" w:color="ffffff" w:themeColor="accent4" w:themeTint="34" w:fill="f3bafd"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36">
    <w:name w:val="Grid Table 2 - Accent 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ffefbf" w:themeFill="accent5" w:themeFillTint="34"/>
      </w:tcPr>
    </w:tblStylePr>
    <w:tblStylePr w:type="band1Vert">
      <w:rPr>
        <w:rFonts w:ascii="Arial" w:hAnsi="Arial"/>
        <w:color w:val="404040"/>
        <w:sz w:val="22"/>
      </w:rPr>
      <w:tcPr>
        <w:shd w:val="clear" w:color="ffffff" w:themeColor="accent5" w:themeTint="34" w:fill="ffefbf"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37">
    <w:name w:val="Grid Table 2 - Accent 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7cccc" w:themeFill="accent6" w:themeFillTint="34"/>
      </w:tcPr>
    </w:tblStylePr>
    <w:tblStylePr w:type="band1Vert">
      <w:rPr>
        <w:rFonts w:ascii="Arial" w:hAnsi="Arial"/>
        <w:color w:val="404040"/>
        <w:sz w:val="22"/>
      </w:rPr>
      <w:tcPr>
        <w:shd w:val="clear" w:color="ffffff" w:themeColor="accent6" w:themeTint="34" w:fill="f7cccc"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38">
    <w:name w:val="Grid Table 3"/>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9">
    <w:name w:val="Grid Table 3 - Accent 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c3fdba" w:themeFill="accent1" w:themeFillTint="34"/>
      </w:tcPr>
    </w:tblStylePr>
    <w:tblStylePr w:type="band1Vert">
      <w:rPr>
        <w:rFonts w:ascii="Arial" w:hAnsi="Arial"/>
        <w:color w:val="404040"/>
        <w:sz w:val="22"/>
      </w:rPr>
      <w:tcPr>
        <w:shd w:val="clear" w:color="ffffff" w:themeColor="accent1" w:themeTint="34" w:fill="c3fdba"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0">
    <w:name w:val="Grid Table 3 - Accent 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bce7fd" w:themeFill="accent2" w:themeFillTint="32"/>
      </w:tcPr>
    </w:tblStylePr>
    <w:tblStylePr w:type="band1Vert">
      <w:rPr>
        <w:rFonts w:ascii="Arial" w:hAnsi="Arial"/>
        <w:color w:val="404040"/>
        <w:sz w:val="22"/>
      </w:rPr>
      <w:tcPr>
        <w:shd w:val="clear" w:color="ffffff" w:themeColor="accent2" w:themeTint="32" w:fill="bce7fd"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1">
    <w:name w:val="Grid Table 3 - Accent 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fdd2ba" w:themeFill="accent3" w:themeFillTint="34"/>
      </w:tcPr>
    </w:tblStylePr>
    <w:tblStylePr w:type="band1Vert">
      <w:rPr>
        <w:rFonts w:ascii="Arial" w:hAnsi="Arial"/>
        <w:color w:val="404040"/>
        <w:sz w:val="22"/>
      </w:rPr>
      <w:tcPr>
        <w:shd w:val="clear" w:color="ffffff" w:themeColor="accent3" w:themeTint="34" w:fill="fdd2ba"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2">
    <w:name w:val="Grid Table 3 - Accent 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3bafd" w:themeFill="accent4" w:themeFillTint="34"/>
      </w:tcPr>
    </w:tblStylePr>
    <w:tblStylePr w:type="band1Vert">
      <w:rPr>
        <w:rFonts w:ascii="Arial" w:hAnsi="Arial"/>
        <w:color w:val="404040"/>
        <w:sz w:val="22"/>
      </w:rPr>
      <w:tcPr>
        <w:shd w:val="clear" w:color="ffffff" w:themeColor="accent4" w:themeTint="34" w:fill="f3bafd"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3">
    <w:name w:val="Grid Table 3 - Accent 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ffefbf" w:themeFill="accent5" w:themeFillTint="34"/>
      </w:tcPr>
    </w:tblStylePr>
    <w:tblStylePr w:type="band1Vert">
      <w:rPr>
        <w:rFonts w:ascii="Arial" w:hAnsi="Arial"/>
        <w:color w:val="404040"/>
        <w:sz w:val="22"/>
      </w:rPr>
      <w:tcPr>
        <w:shd w:val="clear" w:color="ffffff" w:themeColor="accent5" w:themeTint="34" w:fill="ffefbf"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4">
    <w:name w:val="Grid Table 3 - Accent 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7cccc" w:themeFill="accent6" w:themeFillTint="34"/>
      </w:tcPr>
    </w:tblStylePr>
    <w:tblStylePr w:type="band1Vert">
      <w:rPr>
        <w:rFonts w:ascii="Arial" w:hAnsi="Arial"/>
        <w:color w:val="404040"/>
        <w:sz w:val="22"/>
      </w:rPr>
      <w:tcPr>
        <w:shd w:val="clear" w:color="ffffff" w:themeColor="accent6" w:themeTint="34" w:fill="f7cccc"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5">
    <w:name w:val="Grid Table 4"/>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46">
    <w:name w:val="Grid Table 4 - Accent 1"/>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c5fdbc" w:themeFill="accent1" w:themeFillTint="32"/>
      </w:tcPr>
    </w:tblStylePr>
    <w:tblStylePr w:type="band1Vert">
      <w:rPr>
        <w:rFonts w:ascii="Arial" w:hAnsi="Arial"/>
        <w:color w:val="404040"/>
        <w:sz w:val="22"/>
      </w:rPr>
      <w:tcPr>
        <w:shd w:val="clear" w:color="ffffff" w:themeColor="accent1" w:themeTint="32" w:fill="c5fdbc"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1ebe03"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47">
    <w:name w:val="Grid Table 4 - Accent 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bce7fd" w:themeFill="accent2" w:themeFillTint="32"/>
      </w:tcPr>
    </w:tblStylePr>
    <w:tblStylePr w:type="band1Vert">
      <w:rPr>
        <w:rFonts w:ascii="Arial" w:hAnsi="Arial"/>
        <w:color w:val="404040"/>
        <w:sz w:val="22"/>
      </w:rPr>
      <w:tcPr>
        <w:shd w:val="clear" w:color="ffffff" w:themeColor="accent2" w:themeTint="32" w:fill="bce7fd"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36b8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48">
    <w:name w:val="Grid Table 4 - Accent 3"/>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fdd2ba" w:themeFill="accent3" w:themeFillTint="34"/>
      </w:tcPr>
    </w:tblStylePr>
    <w:tblStylePr w:type="band1Vert">
      <w:rPr>
        <w:rFonts w:ascii="Arial" w:hAnsi="Arial"/>
        <w:color w:val="404040"/>
        <w:sz w:val="22"/>
      </w:rPr>
      <w:tcPr>
        <w:shd w:val="clear" w:color="ffffff" w:themeColor="accent3" w:themeTint="34" w:fill="fdd2ba"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43c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49">
    <w:name w:val="Grid Table 4 - Accent 4"/>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3bafd" w:themeFill="accent4" w:themeFillTint="34"/>
      </w:tcPr>
    </w:tblStylePr>
    <w:tblStylePr w:type="band1Vert">
      <w:rPr>
        <w:rFonts w:ascii="Arial" w:hAnsi="Arial"/>
        <w:color w:val="404040"/>
        <w:sz w:val="22"/>
      </w:rPr>
      <w:tcPr>
        <w:shd w:val="clear" w:color="ffffff" w:themeColor="accent4" w:themeTint="34" w:fill="f3bafd"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dc33fa"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50">
    <w:name w:val="Grid Table 4 - Accent 5"/>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ffefbf" w:themeFill="accent5" w:themeFillTint="34"/>
      </w:tcPr>
    </w:tblStylePr>
    <w:tblStylePr w:type="band1Vert">
      <w:rPr>
        <w:rFonts w:ascii="Arial" w:hAnsi="Arial"/>
        <w:color w:val="404040"/>
        <w:sz w:val="22"/>
      </w:rPr>
      <w:tcPr>
        <w:shd w:val="clear" w:color="ffffff" w:themeColor="accent5" w:themeTint="34" w:fill="ffefbf"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51">
    <w:name w:val="Grid Table 4 - Accent 6"/>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7cccc" w:themeFill="accent6" w:themeFillTint="34"/>
      </w:tcPr>
    </w:tblStylePr>
    <w:tblStylePr w:type="band1Vert">
      <w:rPr>
        <w:rFonts w:ascii="Arial" w:hAnsi="Arial"/>
        <w:color w:val="404040"/>
        <w:sz w:val="22"/>
      </w:rPr>
      <w:tcPr>
        <w:shd w:val="clear" w:color="ffffff" w:themeColor="accent6" w:themeTint="34" w:fill="f7cccc"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52">
    <w:name w:val="Grid Table 5 Dark"/>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53">
    <w:name w:val="Grid Table 5 Dark- Accent 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dba" w:themeFill="accent1" w:themeFillTint="34"/>
    </w:tblPr>
    <w:tblStylePr w:type="band1Horz">
      <w:tcPr>
        <w:shd w:val="clear" w:color="ffffff" w:themeColor="accent1" w:themeTint="75" w:fill="79fb64" w:themeFill="accent1" w:themeFillTint="75"/>
      </w:tcPr>
    </w:tblStylePr>
    <w:tblStylePr w:type="band1Vert">
      <w:tcPr>
        <w:shd w:val="clear" w:color="ffffff" w:themeColor="accent1" w:themeTint="75" w:fill="79fb64" w:themeFill="accent1" w:themeFillTint="75"/>
      </w:tcPr>
    </w:tblStylePr>
    <w:tblStylePr w:type="firstCol">
      <w:rPr>
        <w:rFonts w:ascii="Arial" w:hAnsi="Arial"/>
        <w:b/>
        <w:color w:val="ffffff"/>
        <w:sz w:val="22"/>
      </w:rPr>
      <w:tcPr>
        <w:shd w:val="clear" w:color="ffffff" w:themeColor="accent1" w:fill="18a303" w:themeFill="accent1"/>
      </w:tcPr>
    </w:tblStylePr>
    <w:tblStylePr w:type="firstRow">
      <w:rPr>
        <w:rFonts w:ascii="Arial" w:hAnsi="Arial"/>
        <w:b/>
        <w:color w:val="ffffff"/>
        <w:sz w:val="22"/>
      </w:rPr>
      <w:tcPr>
        <w:shd w:val="clear" w:color="ffffff" w:themeColor="accent1" w:fill="18a303" w:themeFill="accent1"/>
      </w:tcPr>
    </w:tblStylePr>
    <w:tblStylePr w:type="lastCol">
      <w:rPr>
        <w:rFonts w:ascii="Arial" w:hAnsi="Arial"/>
        <w:b/>
        <w:color w:val="ffffff"/>
        <w:sz w:val="22"/>
      </w:rPr>
      <w:tcPr>
        <w:shd w:val="clear" w:color="ffffff" w:themeColor="accent1" w:fill="18a303" w:themeFill="accent1"/>
      </w:tcPr>
    </w:tblStylePr>
    <w:tblStylePr w:type="lastRow">
      <w:rPr>
        <w:rFonts w:ascii="Arial" w:hAnsi="Arial"/>
        <w:b/>
        <w:color w:val="ffffff"/>
        <w:sz w:val="22"/>
      </w:rPr>
      <w:tcPr>
        <w:shd w:val="clear" w:color="ffffff" w:themeColor="accent1" w:fill="18a303" w:themeFill="accent1"/>
        <w:tcBorders>
          <w:top w:val="single" w:color="000000" w:themeColor="light1" w:sz="4" w:space="0"/>
        </w:tcBorders>
      </w:tcPr>
    </w:tblStylePr>
  </w:style>
  <w:style w:type="table" w:styleId="754">
    <w:name w:val="Grid Table 5 Dark - Accent 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ce7fd" w:themeFill="accent2" w:themeFillTint="32"/>
    </w:tblPr>
    <w:tblStylePr w:type="band1Horz">
      <w:tcPr>
        <w:shd w:val="clear" w:color="ffffff" w:themeColor="accent2" w:themeTint="75" w:fill="64c8fb" w:themeFill="accent2" w:themeFillTint="75"/>
      </w:tcPr>
    </w:tblStylePr>
    <w:tblStylePr w:type="band1Vert">
      <w:tcPr>
        <w:shd w:val="clear" w:color="ffffff" w:themeColor="accent2" w:themeTint="75" w:fill="64c8fb" w:themeFill="accent2" w:themeFillTint="75"/>
      </w:tcPr>
    </w:tblStylePr>
    <w:tblStylePr w:type="firstCol">
      <w:rPr>
        <w:rFonts w:ascii="Arial" w:hAnsi="Arial"/>
        <w:b/>
        <w:color w:val="ffffff"/>
        <w:sz w:val="22"/>
      </w:rPr>
      <w:tcPr>
        <w:shd w:val="clear" w:color="ffffff" w:themeColor="accent2" w:fill="0369a3" w:themeFill="accent2"/>
      </w:tcPr>
    </w:tblStylePr>
    <w:tblStylePr w:type="firstRow">
      <w:rPr>
        <w:rFonts w:ascii="Arial" w:hAnsi="Arial"/>
        <w:b/>
        <w:color w:val="ffffff"/>
        <w:sz w:val="22"/>
      </w:rPr>
      <w:tcPr>
        <w:shd w:val="clear" w:color="ffffff" w:themeColor="accent2" w:fill="0369a3" w:themeFill="accent2"/>
      </w:tcPr>
    </w:tblStylePr>
    <w:tblStylePr w:type="lastCol">
      <w:rPr>
        <w:rFonts w:ascii="Arial" w:hAnsi="Arial"/>
        <w:b/>
        <w:color w:val="ffffff"/>
        <w:sz w:val="22"/>
      </w:rPr>
      <w:tcPr>
        <w:shd w:val="clear" w:color="ffffff" w:themeColor="accent2" w:fill="0369a3" w:themeFill="accent2"/>
      </w:tcPr>
    </w:tblStylePr>
    <w:tblStylePr w:type="lastRow">
      <w:rPr>
        <w:rFonts w:ascii="Arial" w:hAnsi="Arial"/>
        <w:b/>
        <w:color w:val="ffffff"/>
        <w:sz w:val="22"/>
      </w:rPr>
      <w:tcPr>
        <w:shd w:val="clear" w:color="ffffff" w:themeColor="accent2" w:fill="0369a3" w:themeFill="accent2"/>
        <w:tcBorders>
          <w:top w:val="single" w:color="000000" w:themeColor="light1" w:sz="4" w:space="0"/>
        </w:tcBorders>
      </w:tcPr>
    </w:tblStylePr>
  </w:style>
  <w:style w:type="table" w:styleId="755">
    <w:name w:val="Grid Table 5 Dark - Accent 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dd2ba" w:themeFill="accent3" w:themeFillTint="34"/>
    </w:tblPr>
    <w:tblStylePr w:type="band1Horz">
      <w:tcPr>
        <w:shd w:val="clear" w:color="ffffff" w:themeColor="accent3" w:themeTint="75" w:fill="fb9964" w:themeFill="accent3" w:themeFillTint="75"/>
      </w:tcPr>
    </w:tblStylePr>
    <w:tblStylePr w:type="band1Vert">
      <w:tcPr>
        <w:shd w:val="clear" w:color="ffffff" w:themeColor="accent3" w:themeTint="75" w:fill="fb9964" w:themeFill="accent3" w:themeFillTint="75"/>
      </w:tcPr>
    </w:tblStylePr>
    <w:tblStylePr w:type="firstCol">
      <w:rPr>
        <w:rFonts w:ascii="Arial" w:hAnsi="Arial"/>
        <w:b/>
        <w:color w:val="ffffff"/>
        <w:sz w:val="22"/>
      </w:rPr>
      <w:tcPr>
        <w:shd w:val="clear" w:color="ffffff" w:themeColor="accent3" w:fill="a33e03" w:themeFill="accent3"/>
      </w:tcPr>
    </w:tblStylePr>
    <w:tblStylePr w:type="firstRow">
      <w:rPr>
        <w:rFonts w:ascii="Arial" w:hAnsi="Arial"/>
        <w:b/>
        <w:color w:val="ffffff"/>
        <w:sz w:val="22"/>
      </w:rPr>
      <w:tcPr>
        <w:shd w:val="clear" w:color="ffffff" w:themeColor="accent3" w:fill="a33e03" w:themeFill="accent3"/>
      </w:tcPr>
    </w:tblStylePr>
    <w:tblStylePr w:type="lastCol">
      <w:rPr>
        <w:rFonts w:ascii="Arial" w:hAnsi="Arial"/>
        <w:b/>
        <w:color w:val="ffffff"/>
        <w:sz w:val="22"/>
      </w:rPr>
      <w:tcPr>
        <w:shd w:val="clear" w:color="ffffff" w:themeColor="accent3" w:fill="a33e03" w:themeFill="accent3"/>
      </w:tcPr>
    </w:tblStylePr>
    <w:tblStylePr w:type="lastRow">
      <w:rPr>
        <w:rFonts w:ascii="Arial" w:hAnsi="Arial"/>
        <w:b/>
        <w:color w:val="ffffff"/>
        <w:sz w:val="22"/>
      </w:rPr>
      <w:tcPr>
        <w:shd w:val="clear" w:color="ffffff" w:themeColor="accent3" w:fill="a33e03" w:themeFill="accent3"/>
        <w:tcBorders>
          <w:top w:val="single" w:color="000000" w:themeColor="light1" w:sz="4" w:space="0"/>
        </w:tcBorders>
      </w:tcPr>
    </w:tblStylePr>
  </w:style>
  <w:style w:type="table" w:styleId="756">
    <w:name w:val="Grid Table 5 Dark- Accent 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3bafd" w:themeFill="accent4" w:themeFillTint="34"/>
    </w:tblPr>
    <w:tblStylePr w:type="band1Horz">
      <w:tcPr>
        <w:shd w:val="clear" w:color="ffffff" w:themeColor="accent4" w:themeTint="75" w:fill="e464fb" w:themeFill="accent4" w:themeFillTint="75"/>
      </w:tcPr>
    </w:tblStylePr>
    <w:tblStylePr w:type="band1Vert">
      <w:tcPr>
        <w:shd w:val="clear" w:color="ffffff" w:themeColor="accent4" w:themeTint="75" w:fill="e464fb" w:themeFill="accent4" w:themeFillTint="75"/>
      </w:tcPr>
    </w:tblStylePr>
    <w:tblStylePr w:type="firstCol">
      <w:rPr>
        <w:rFonts w:ascii="Arial" w:hAnsi="Arial"/>
        <w:b/>
        <w:color w:val="ffffff"/>
        <w:sz w:val="22"/>
      </w:rPr>
      <w:tcPr>
        <w:shd w:val="clear" w:color="ffffff" w:themeColor="accent4" w:fill="8e03a3" w:themeFill="accent4"/>
      </w:tcPr>
    </w:tblStylePr>
    <w:tblStylePr w:type="firstRow">
      <w:rPr>
        <w:rFonts w:ascii="Arial" w:hAnsi="Arial"/>
        <w:b/>
        <w:color w:val="ffffff"/>
        <w:sz w:val="22"/>
      </w:rPr>
      <w:tcPr>
        <w:shd w:val="clear" w:color="ffffff" w:themeColor="accent4" w:fill="8e03a3" w:themeFill="accent4"/>
      </w:tcPr>
    </w:tblStylePr>
    <w:tblStylePr w:type="lastCol">
      <w:rPr>
        <w:rFonts w:ascii="Arial" w:hAnsi="Arial"/>
        <w:b/>
        <w:color w:val="ffffff"/>
        <w:sz w:val="22"/>
      </w:rPr>
      <w:tcPr>
        <w:shd w:val="clear" w:color="ffffff" w:themeColor="accent4" w:fill="8e03a3" w:themeFill="accent4"/>
      </w:tcPr>
    </w:tblStylePr>
    <w:tblStylePr w:type="lastRow">
      <w:rPr>
        <w:rFonts w:ascii="Arial" w:hAnsi="Arial"/>
        <w:b/>
        <w:color w:val="ffffff"/>
        <w:sz w:val="22"/>
      </w:rPr>
      <w:tcPr>
        <w:shd w:val="clear" w:color="ffffff" w:themeColor="accent4" w:fill="8e03a3" w:themeFill="accent4"/>
        <w:tcBorders>
          <w:top w:val="single" w:color="000000" w:themeColor="light1" w:sz="4" w:space="0"/>
        </w:tcBorders>
      </w:tcPr>
    </w:tblStylePr>
  </w:style>
  <w:style w:type="table" w:styleId="757">
    <w:name w:val="Grid Table 5 Dark - Accent 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efbf" w:themeFill="accent5" w:themeFillTint="34"/>
    </w:tblPr>
    <w:tblStylePr w:type="band1Horz">
      <w:tcPr>
        <w:shd w:val="clear" w:color="ffffff" w:themeColor="accent5" w:themeTint="75" w:fill="ffdb71" w:themeFill="accent5" w:themeFillTint="75"/>
      </w:tcPr>
    </w:tblStylePr>
    <w:tblStylePr w:type="band1Vert">
      <w:tcPr>
        <w:shd w:val="clear" w:color="ffffff" w:themeColor="accent5" w:themeTint="75" w:fill="ffdb71" w:themeFill="accent5" w:themeFillTint="75"/>
      </w:tcPr>
    </w:tblStylePr>
    <w:tblStylePr w:type="firstCol">
      <w:rPr>
        <w:rFonts w:ascii="Arial" w:hAnsi="Arial"/>
        <w:b/>
        <w:color w:val="ffffff"/>
        <w:sz w:val="22"/>
      </w:rPr>
      <w:tcPr>
        <w:shd w:val="clear" w:color="ffffff" w:themeColor="accent5" w:fill="c99c00" w:themeFill="accent5"/>
      </w:tcPr>
    </w:tblStylePr>
    <w:tblStylePr w:type="firstRow">
      <w:rPr>
        <w:rFonts w:ascii="Arial" w:hAnsi="Arial"/>
        <w:b/>
        <w:color w:val="ffffff"/>
        <w:sz w:val="22"/>
      </w:rPr>
      <w:tcPr>
        <w:shd w:val="clear" w:color="ffffff" w:themeColor="accent5" w:fill="c99c00" w:themeFill="accent5"/>
      </w:tcPr>
    </w:tblStylePr>
    <w:tblStylePr w:type="lastCol">
      <w:rPr>
        <w:rFonts w:ascii="Arial" w:hAnsi="Arial"/>
        <w:b/>
        <w:color w:val="ffffff"/>
        <w:sz w:val="22"/>
      </w:rPr>
      <w:tcPr>
        <w:shd w:val="clear" w:color="ffffff" w:themeColor="accent5" w:fill="c99c00" w:themeFill="accent5"/>
      </w:tcPr>
    </w:tblStylePr>
    <w:tblStylePr w:type="lastRow">
      <w:rPr>
        <w:rFonts w:ascii="Arial" w:hAnsi="Arial"/>
        <w:b/>
        <w:color w:val="ffffff"/>
        <w:sz w:val="22"/>
      </w:rPr>
      <w:tcPr>
        <w:shd w:val="clear" w:color="ffffff" w:themeColor="accent5" w:fill="c99c00" w:themeFill="accent5"/>
        <w:tcBorders>
          <w:top w:val="single" w:color="000000" w:themeColor="light1" w:sz="4" w:space="0"/>
        </w:tcBorders>
      </w:tcPr>
    </w:tblStylePr>
  </w:style>
  <w:style w:type="table" w:styleId="758">
    <w:name w:val="Grid Table 5 Dark - Accent 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7cccc" w:themeFill="accent6" w:themeFillTint="34"/>
    </w:tblPr>
    <w:tblStylePr w:type="band1Horz">
      <w:tcPr>
        <w:shd w:val="clear" w:color="ffffff" w:themeColor="accent6" w:themeTint="75" w:fill="ee8f8f" w:themeFill="accent6" w:themeFillTint="75"/>
      </w:tcPr>
    </w:tblStylePr>
    <w:tblStylePr w:type="band1Vert">
      <w:tcPr>
        <w:shd w:val="clear" w:color="ffffff" w:themeColor="accent6" w:themeTint="75" w:fill="ee8f8f" w:themeFill="accent6" w:themeFillTint="75"/>
      </w:tcPr>
    </w:tblStylePr>
    <w:tblStylePr w:type="firstCol">
      <w:rPr>
        <w:rFonts w:ascii="Arial" w:hAnsi="Arial"/>
        <w:b/>
        <w:color w:val="ffffff"/>
        <w:sz w:val="22"/>
      </w:rPr>
      <w:tcPr>
        <w:shd w:val="clear" w:color="ffffff" w:themeColor="accent6" w:fill="c9211e" w:themeFill="accent6"/>
      </w:tcPr>
    </w:tblStylePr>
    <w:tblStylePr w:type="firstRow">
      <w:rPr>
        <w:rFonts w:ascii="Arial" w:hAnsi="Arial"/>
        <w:b/>
        <w:color w:val="ffffff"/>
        <w:sz w:val="22"/>
      </w:rPr>
      <w:tcPr>
        <w:shd w:val="clear" w:color="ffffff" w:themeColor="accent6" w:fill="c9211e" w:themeFill="accent6"/>
      </w:tcPr>
    </w:tblStylePr>
    <w:tblStylePr w:type="lastCol">
      <w:rPr>
        <w:rFonts w:ascii="Arial" w:hAnsi="Arial"/>
        <w:b/>
        <w:color w:val="ffffff"/>
        <w:sz w:val="22"/>
      </w:rPr>
      <w:tcPr>
        <w:shd w:val="clear" w:color="ffffff" w:themeColor="accent6" w:fill="c9211e" w:themeFill="accent6"/>
      </w:tcPr>
    </w:tblStylePr>
    <w:tblStylePr w:type="lastRow">
      <w:rPr>
        <w:rFonts w:ascii="Arial" w:hAnsi="Arial"/>
        <w:b/>
        <w:color w:val="ffffff"/>
        <w:sz w:val="22"/>
      </w:rPr>
      <w:tcPr>
        <w:shd w:val="clear" w:color="ffffff" w:themeColor="accent6" w:fill="c9211e" w:themeFill="accent6"/>
        <w:tcBorders>
          <w:top w:val="single" w:color="000000" w:themeColor="light1" w:sz="4" w:space="0"/>
        </w:tcBorders>
      </w:tcPr>
    </w:tblStylePr>
  </w:style>
  <w:style w:type="table" w:styleId="759">
    <w:name w:val="Grid Table 6 Colorful"/>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60">
    <w:name w:val="Grid Table 6 Colorful - Accent 1"/>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c3fdba" w:themeFill="accent1" w:themeFillTint="34"/>
      </w:tcPr>
    </w:tblStylePr>
    <w:tblStylePr w:type="band1Vert">
      <w:tcPr>
        <w:shd w:val="clear" w:color="ffffff" w:themeColor="accent1" w:themeTint="34" w:fill="c3fdba" w:themeFill="accent1" w:themeFillTint="34"/>
      </w:tcPr>
    </w:tblStylePr>
    <w:tblStylePr w:type="band2Horz">
      <w:rPr>
        <w:rFonts w:ascii="Arial" w:hAnsi="Arial"/>
        <w:color w:val="404040" w:themeColor="accent1" w:themeTint="80" w:themeShade="95"/>
        <w:sz w:val="22"/>
      </w:rPr>
    </w:tblStylePr>
    <w:tblStylePr w:type="firstCol">
      <w:rPr>
        <w:b/>
        <w:color w:val="1ebf04" w:themeColor="accent1" w:themeTint="80" w:themeShade="95"/>
      </w:rPr>
    </w:tblStylePr>
    <w:tblStylePr w:type="firstRow">
      <w:rPr>
        <w:b/>
        <w:color w:val="1ebf04" w:themeColor="accent1" w:themeTint="80" w:themeShade="95"/>
      </w:rPr>
      <w:tcPr>
        <w:tcBorders>
          <w:bottom w:val="single" w:color="000000" w:themeColor="accent1" w:themeTint="80" w:sz="12" w:space="0"/>
        </w:tcBorders>
      </w:tcPr>
    </w:tblStylePr>
    <w:tblStylePr w:type="lastCol">
      <w:rPr>
        <w:b/>
        <w:color w:val="1ebf04" w:themeColor="accent1" w:themeTint="80" w:themeShade="95"/>
      </w:rPr>
    </w:tblStylePr>
    <w:tblStylePr w:type="lastRow">
      <w:rPr>
        <w:b/>
        <w:color w:val="1ebf04" w:themeColor="accent1" w:themeTint="80" w:themeShade="95"/>
      </w:rPr>
    </w:tblStylePr>
    <w:tblStylePr w:type="wholeTable">
      <w:rPr>
        <w:rFonts w:ascii="Arial" w:hAnsi="Arial"/>
        <w:color w:val="404040" w:themeColor="accent1" w:themeTint="80" w:themeShade="95"/>
        <w:sz w:val="22"/>
      </w:rPr>
    </w:tblStylePr>
  </w:style>
  <w:style w:type="table" w:styleId="761">
    <w:name w:val="Grid Table 6 Colorful - Accent 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bce7fd" w:themeFill="accent2" w:themeFillTint="32"/>
      </w:tcPr>
    </w:tblStylePr>
    <w:tblStylePr w:type="band1Vert">
      <w:tcPr>
        <w:shd w:val="clear" w:color="ffffff" w:themeColor="accent2" w:themeTint="32" w:fill="bce7fd" w:themeFill="accent2" w:themeFillTint="32"/>
      </w:tcPr>
    </w:tblStylePr>
    <w:tblStylePr w:type="band2Horz">
      <w:rPr>
        <w:rFonts w:ascii="Arial" w:hAnsi="Arial"/>
        <w:color w:val="404040" w:themeColor="accent2" w:themeTint="97" w:themeShade="95"/>
        <w:sz w:val="22"/>
      </w:rPr>
    </w:tblStylePr>
    <w:tblStylePr w:type="firstCol">
      <w:rPr>
        <w:b/>
        <w:color w:val="0378ae" w:themeColor="accent2" w:themeTint="97" w:themeShade="95"/>
      </w:rPr>
    </w:tblStylePr>
    <w:tblStylePr w:type="firstRow">
      <w:rPr>
        <w:b/>
        <w:color w:val="0378ae" w:themeColor="accent2" w:themeTint="97" w:themeShade="95"/>
      </w:rPr>
      <w:tcPr>
        <w:tcBorders>
          <w:bottom w:val="single" w:color="000000" w:themeColor="accent2" w:themeTint="97" w:sz="12" w:space="0"/>
        </w:tcBorders>
      </w:tcPr>
    </w:tblStylePr>
    <w:tblStylePr w:type="lastCol">
      <w:rPr>
        <w:b/>
        <w:color w:val="0378ae" w:themeColor="accent2" w:themeTint="97" w:themeShade="95"/>
      </w:rPr>
    </w:tblStylePr>
    <w:tblStylePr w:type="lastRow">
      <w:rPr>
        <w:b/>
        <w:color w:val="0378ae" w:themeColor="accent2" w:themeTint="97" w:themeShade="95"/>
      </w:rPr>
    </w:tblStylePr>
    <w:tblStylePr w:type="wholeTable">
      <w:rPr>
        <w:rFonts w:ascii="Arial" w:hAnsi="Arial"/>
        <w:color w:val="404040" w:themeColor="accent2" w:themeTint="97" w:themeShade="95"/>
        <w:sz w:val="22"/>
      </w:rPr>
    </w:tblStylePr>
  </w:style>
  <w:style w:type="table" w:styleId="762">
    <w:name w:val="Grid Table 6 Colorful - Accent 3"/>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fdd2ba" w:themeFill="accent3" w:themeFillTint="34"/>
      </w:tcPr>
    </w:tblStylePr>
    <w:tblStylePr w:type="band1Vert">
      <w:tcPr>
        <w:shd w:val="clear" w:color="ffffff" w:themeColor="accent3" w:themeTint="34" w:fill="fdd2ba" w:themeFill="accent3" w:themeFillTint="34"/>
      </w:tcPr>
    </w:tblStylePr>
    <w:tblStylePr w:type="band2Horz">
      <w:rPr>
        <w:rFonts w:ascii="Arial" w:hAnsi="Arial"/>
        <w:color w:val="404040" w:themeColor="accent3" w:themeTint="FE" w:themeShade="95"/>
        <w:sz w:val="22"/>
      </w:rPr>
    </w:tblStylePr>
    <w:tblStylePr w:type="firstCol">
      <w:rPr>
        <w:b/>
        <w:color w:val="5e2201" w:themeColor="accent3" w:themeTint="FE" w:themeShade="95"/>
      </w:rPr>
    </w:tblStylePr>
    <w:tblStylePr w:type="firstRow">
      <w:rPr>
        <w:b/>
        <w:color w:val="5e2201" w:themeColor="accent3" w:themeTint="FE" w:themeShade="95"/>
      </w:rPr>
      <w:tcPr>
        <w:tcBorders>
          <w:bottom w:val="single" w:color="000000" w:themeColor="accent3" w:themeTint="FE" w:sz="12" w:space="0"/>
        </w:tcBorders>
      </w:tcPr>
    </w:tblStylePr>
    <w:tblStylePr w:type="lastCol">
      <w:rPr>
        <w:b/>
        <w:color w:val="5e2201" w:themeColor="accent3" w:themeTint="FE" w:themeShade="95"/>
      </w:rPr>
    </w:tblStylePr>
    <w:tblStylePr w:type="lastRow">
      <w:rPr>
        <w:b/>
        <w:color w:val="5e2201" w:themeColor="accent3" w:themeTint="FE" w:themeShade="95"/>
      </w:rPr>
    </w:tblStylePr>
    <w:tblStylePr w:type="wholeTable">
      <w:rPr>
        <w:rFonts w:ascii="Arial" w:hAnsi="Arial"/>
        <w:color w:val="404040" w:themeColor="accent3" w:themeTint="FE" w:themeShade="95"/>
        <w:sz w:val="22"/>
      </w:rPr>
    </w:tblStylePr>
  </w:style>
  <w:style w:type="table" w:styleId="763">
    <w:name w:val="Grid Table 6 Colorful - Accent 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3bafd" w:themeFill="accent4" w:themeFillTint="34"/>
      </w:tcPr>
    </w:tblStylePr>
    <w:tblStylePr w:type="band1Vert">
      <w:tcPr>
        <w:shd w:val="clear" w:color="ffffff" w:themeColor="accent4" w:themeTint="34" w:fill="f3bafd" w:themeFill="accent4" w:themeFillTint="34"/>
      </w:tcPr>
    </w:tblStylePr>
    <w:tblStylePr w:type="band2Horz">
      <w:rPr>
        <w:rFonts w:ascii="Arial" w:hAnsi="Arial"/>
        <w:color w:val="404040" w:themeColor="accent4" w:themeTint="9A" w:themeShade="95"/>
        <w:sz w:val="22"/>
      </w:rPr>
    </w:tblStylePr>
    <w:tblStylePr w:type="firstCol">
      <w:rPr>
        <w:b/>
        <w:color w:val="9104ab" w:themeColor="accent4" w:themeTint="9A" w:themeShade="95"/>
      </w:rPr>
    </w:tblStylePr>
    <w:tblStylePr w:type="firstRow">
      <w:rPr>
        <w:b/>
        <w:color w:val="9104ab" w:themeColor="accent4" w:themeTint="9A" w:themeShade="95"/>
      </w:rPr>
      <w:tcPr>
        <w:tcBorders>
          <w:bottom w:val="single" w:color="000000" w:themeColor="accent4" w:themeTint="9A" w:sz="12" w:space="0"/>
        </w:tcBorders>
      </w:tcPr>
    </w:tblStylePr>
    <w:tblStylePr w:type="lastCol">
      <w:rPr>
        <w:b/>
        <w:color w:val="9104ab" w:themeColor="accent4" w:themeTint="9A" w:themeShade="95"/>
      </w:rPr>
    </w:tblStylePr>
    <w:tblStylePr w:type="lastRow">
      <w:rPr>
        <w:b/>
        <w:color w:val="9104ab" w:themeColor="accent4" w:themeTint="9A" w:themeShade="95"/>
      </w:rPr>
    </w:tblStylePr>
    <w:tblStylePr w:type="wholeTable">
      <w:rPr>
        <w:rFonts w:ascii="Arial" w:hAnsi="Arial"/>
        <w:color w:val="404040" w:themeColor="accent4" w:themeTint="9A" w:themeShade="95"/>
        <w:sz w:val="22"/>
      </w:rPr>
    </w:tblStylePr>
  </w:style>
  <w:style w:type="table" w:styleId="764">
    <w:name w:val="Grid Table 6 Colorful - Accent 5"/>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ffefbf" w:themeFill="accent5" w:themeFillTint="34"/>
      </w:tcPr>
    </w:tblStylePr>
    <w:tblStylePr w:type="band1Vert">
      <w:tcPr>
        <w:shd w:val="clear" w:color="ffffff" w:themeColor="accent5" w:themeTint="34" w:fill="ffefbf" w:themeFill="accent5" w:themeFillTint="34"/>
      </w:tcPr>
    </w:tblStylePr>
    <w:tblStylePr w:type="band2Horz">
      <w:rPr>
        <w:rFonts w:ascii="Arial" w:hAnsi="Arial"/>
        <w:color w:val="404040" w:themeColor="accent5" w:themeShade="95"/>
        <w:sz w:val="22"/>
      </w:rPr>
    </w:tblStylePr>
    <w:tblStylePr w:type="firstCol">
      <w:rPr>
        <w:b/>
        <w:color w:val="745700" w:themeColor="accent5" w:themeShade="95"/>
      </w:rPr>
    </w:tblStylePr>
    <w:tblStylePr w:type="firstRow">
      <w:rPr>
        <w:b/>
        <w:color w:val="745700" w:themeColor="accent5" w:themeShade="95"/>
      </w:rPr>
      <w:tcPr>
        <w:tcBorders>
          <w:bottom w:val="single" w:color="000000" w:themeColor="accent5" w:sz="12" w:space="0"/>
        </w:tcBorders>
      </w:tcPr>
    </w:tblStylePr>
    <w:tblStylePr w:type="lastCol">
      <w:rPr>
        <w:b/>
        <w:color w:val="745700" w:themeColor="accent5" w:themeShade="95"/>
      </w:rPr>
    </w:tblStylePr>
    <w:tblStylePr w:type="lastRow">
      <w:rPr>
        <w:b/>
        <w:color w:val="745700" w:themeColor="accent5" w:themeShade="95"/>
      </w:rPr>
    </w:tblStylePr>
    <w:tblStylePr w:type="wholeTable">
      <w:rPr>
        <w:rFonts w:ascii="Arial" w:hAnsi="Arial"/>
        <w:color w:val="404040" w:themeColor="accent5" w:themeShade="95"/>
        <w:sz w:val="22"/>
      </w:rPr>
    </w:tblStylePr>
  </w:style>
  <w:style w:type="table" w:styleId="765">
    <w:name w:val="Grid Table 6 Colorful - Accent 6"/>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7cccc" w:themeFill="accent6" w:themeFillTint="34"/>
      </w:tcPr>
    </w:tblStylePr>
    <w:tblStylePr w:type="band1Vert">
      <w:tcPr>
        <w:shd w:val="clear" w:color="ffffff" w:themeColor="accent6" w:themeTint="34" w:fill="f7cccc" w:themeFill="accent6" w:themeFillTint="34"/>
      </w:tcPr>
    </w:tblStylePr>
    <w:tblStylePr w:type="band2Horz">
      <w:rPr>
        <w:rFonts w:ascii="Arial" w:hAnsi="Arial"/>
        <w:color w:val="404040" w:themeColor="accent5" w:themeShade="95"/>
        <w:sz w:val="22"/>
      </w:rPr>
    </w:tblStylePr>
    <w:tblStylePr w:type="firstCol">
      <w:rPr>
        <w:b/>
        <w:color w:val="745700" w:themeColor="accent5" w:themeShade="95"/>
      </w:rPr>
    </w:tblStylePr>
    <w:tblStylePr w:type="firstRow">
      <w:rPr>
        <w:b/>
        <w:color w:val="745700" w:themeColor="accent5" w:themeShade="95"/>
      </w:rPr>
      <w:tcPr>
        <w:tcBorders>
          <w:bottom w:val="single" w:color="000000" w:themeColor="accent6" w:sz="12" w:space="0"/>
        </w:tcBorders>
      </w:tcPr>
    </w:tblStylePr>
    <w:tblStylePr w:type="lastCol">
      <w:rPr>
        <w:b/>
        <w:color w:val="745700" w:themeColor="accent5" w:themeShade="95"/>
      </w:rPr>
    </w:tblStylePr>
    <w:tblStylePr w:type="lastRow">
      <w:rPr>
        <w:b/>
        <w:color w:val="745700" w:themeColor="accent5" w:themeShade="95"/>
      </w:rPr>
    </w:tblStylePr>
    <w:tblStylePr w:type="wholeTable">
      <w:rPr>
        <w:rFonts w:ascii="Arial" w:hAnsi="Arial"/>
        <w:color w:val="404040" w:themeColor="accent5" w:themeShade="95"/>
        <w:sz w:val="22"/>
      </w:rPr>
    </w:tblStylePr>
  </w:style>
  <w:style w:type="table" w:styleId="766">
    <w:name w:val="Grid Table 7 Colorful"/>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67">
    <w:name w:val="Grid Table 7 Colorful - Accent 1"/>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1ebf04" w:themeColor="accent1" w:themeTint="80" w:themeShade="95"/>
        <w:sz w:val="22"/>
      </w:rPr>
      <w:tcPr>
        <w:shd w:val="clear" w:color="ffffff" w:themeColor="accent1" w:themeTint="34" w:fill="c3fdba" w:themeFill="accent1" w:themeFillTint="34"/>
      </w:tcPr>
    </w:tblStylePr>
    <w:tblStylePr w:type="band1Vert">
      <w:tcPr>
        <w:shd w:val="clear" w:color="ffffff" w:themeColor="accent1" w:themeTint="34" w:fill="c3fdba" w:themeFill="accent1" w:themeFillTint="34"/>
      </w:tcPr>
    </w:tblStylePr>
    <w:tblStylePr w:type="band2Horz">
      <w:rPr>
        <w:rFonts w:ascii="Arial" w:hAnsi="Arial"/>
        <w:color w:val="1ebf04" w:themeColor="accent1" w:themeTint="80" w:themeShade="95"/>
        <w:sz w:val="22"/>
      </w:rPr>
    </w:tblStylePr>
    <w:tblStylePr w:type="firstCol">
      <w:rPr>
        <w:rFonts w:ascii="Arial" w:hAnsi="Arial"/>
        <w:i/>
        <w:color w:val="1ebf04"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ebf04"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ebf04"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ebf04"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68">
    <w:name w:val="Grid Table 7 Colorful - Accent 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0378ae" w:themeColor="accent2" w:themeTint="97" w:themeShade="95"/>
        <w:sz w:val="22"/>
      </w:rPr>
      <w:tcPr>
        <w:shd w:val="clear" w:color="ffffff" w:themeColor="accent2" w:themeTint="32" w:fill="bce7fd" w:themeFill="accent2" w:themeFillTint="32"/>
      </w:tcPr>
    </w:tblStylePr>
    <w:tblStylePr w:type="band1Vert">
      <w:tcPr>
        <w:shd w:val="clear" w:color="ffffff" w:themeColor="accent2" w:themeTint="32" w:fill="bce7fd" w:themeFill="accent2" w:themeFillTint="32"/>
      </w:tcPr>
    </w:tblStylePr>
    <w:tblStylePr w:type="band2Horz">
      <w:rPr>
        <w:rFonts w:ascii="Arial" w:hAnsi="Arial"/>
        <w:color w:val="0378ae" w:themeColor="accent2" w:themeTint="97" w:themeShade="95"/>
        <w:sz w:val="22"/>
      </w:rPr>
    </w:tblStylePr>
    <w:tblStylePr w:type="firstCol">
      <w:rPr>
        <w:rFonts w:ascii="Arial" w:hAnsi="Arial"/>
        <w:i/>
        <w:color w:val="0378ae"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378ae"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8ae"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378ae"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69">
    <w:name w:val="Grid Table 7 Colorful - Accent 3"/>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e2201" w:themeColor="accent3" w:themeTint="FE" w:themeShade="95"/>
        <w:sz w:val="22"/>
      </w:rPr>
      <w:tcPr>
        <w:shd w:val="clear" w:color="ffffff" w:themeColor="accent3" w:themeTint="34" w:fill="fdd2ba" w:themeFill="accent3" w:themeFillTint="34"/>
      </w:tcPr>
    </w:tblStylePr>
    <w:tblStylePr w:type="band1Vert">
      <w:tcPr>
        <w:shd w:val="clear" w:color="ffffff" w:themeColor="accent3" w:themeTint="34" w:fill="fdd2ba" w:themeFill="accent3" w:themeFillTint="34"/>
      </w:tcPr>
    </w:tblStylePr>
    <w:tblStylePr w:type="band2Horz">
      <w:rPr>
        <w:rFonts w:ascii="Arial" w:hAnsi="Arial"/>
        <w:color w:val="5e2201" w:themeColor="accent3" w:themeTint="FE" w:themeShade="95"/>
        <w:sz w:val="22"/>
      </w:rPr>
    </w:tblStylePr>
    <w:tblStylePr w:type="firstCol">
      <w:rPr>
        <w:rFonts w:ascii="Arial" w:hAnsi="Arial"/>
        <w:i/>
        <w:color w:val="5e2201"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e2201"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e2201"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e2201"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70">
    <w:name w:val="Grid Table 7 Colorful - Accent 4"/>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9104ab" w:themeColor="accent4" w:themeTint="9A" w:themeShade="95"/>
        <w:sz w:val="22"/>
      </w:rPr>
      <w:tcPr>
        <w:shd w:val="clear" w:color="ffffff" w:themeColor="accent4" w:themeTint="34" w:fill="f3bafd" w:themeFill="accent4" w:themeFillTint="34"/>
      </w:tcPr>
    </w:tblStylePr>
    <w:tblStylePr w:type="band1Vert">
      <w:tcPr>
        <w:shd w:val="clear" w:color="ffffff" w:themeColor="accent4" w:themeTint="34" w:fill="f3bafd" w:themeFill="accent4" w:themeFillTint="34"/>
      </w:tcPr>
    </w:tblStylePr>
    <w:tblStylePr w:type="band2Horz">
      <w:rPr>
        <w:rFonts w:ascii="Arial" w:hAnsi="Arial"/>
        <w:color w:val="9104ab" w:themeColor="accent4" w:themeTint="9A" w:themeShade="95"/>
        <w:sz w:val="22"/>
      </w:rPr>
    </w:tblStylePr>
    <w:tblStylePr w:type="firstCol">
      <w:rPr>
        <w:rFonts w:ascii="Arial" w:hAnsi="Arial"/>
        <w:i/>
        <w:color w:val="9104ab"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104ab"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104ab"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104ab"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71">
    <w:name w:val="Grid Table 7 Colorful - Accent 5"/>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745700" w:themeColor="accent5" w:themeShade="95"/>
        <w:sz w:val="22"/>
      </w:rPr>
      <w:tcPr>
        <w:shd w:val="clear" w:color="ffffff" w:themeColor="accent5" w:themeTint="34" w:fill="ffefbf" w:themeFill="accent5" w:themeFillTint="34"/>
      </w:tcPr>
    </w:tblStylePr>
    <w:tblStylePr w:type="band1Vert">
      <w:tcPr>
        <w:shd w:val="clear" w:color="ffffff" w:themeColor="accent5" w:themeTint="34" w:fill="ffefbf" w:themeFill="accent5" w:themeFillTint="34"/>
      </w:tcPr>
    </w:tblStylePr>
    <w:tblStylePr w:type="band2Horz">
      <w:rPr>
        <w:rFonts w:ascii="Arial" w:hAnsi="Arial"/>
        <w:color w:val="745700" w:themeColor="accent5" w:themeShade="95"/>
        <w:sz w:val="22"/>
      </w:rPr>
    </w:tblStylePr>
    <w:tblStylePr w:type="firstCol">
      <w:rPr>
        <w:rFonts w:ascii="Arial" w:hAnsi="Arial"/>
        <w:i/>
        <w:color w:val="745700"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45700"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45700"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45700"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72">
    <w:name w:val="Grid Table 7 Colorful - Accent 6"/>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741111" w:themeColor="accent6" w:themeShade="95"/>
        <w:sz w:val="22"/>
      </w:rPr>
      <w:tcPr>
        <w:shd w:val="clear" w:color="ffffff" w:themeColor="accent6" w:themeTint="34" w:fill="f7cccc" w:themeFill="accent6" w:themeFillTint="34"/>
      </w:tcPr>
    </w:tblStylePr>
    <w:tblStylePr w:type="band1Vert">
      <w:tcPr>
        <w:shd w:val="clear" w:color="ffffff" w:themeColor="accent6" w:themeTint="34" w:fill="f7cccc" w:themeFill="accent6" w:themeFillTint="34"/>
      </w:tcPr>
    </w:tblStylePr>
    <w:tblStylePr w:type="band2Horz">
      <w:rPr>
        <w:rFonts w:ascii="Arial" w:hAnsi="Arial"/>
        <w:color w:val="741111" w:themeColor="accent6" w:themeShade="95"/>
        <w:sz w:val="22"/>
      </w:rPr>
    </w:tblStylePr>
    <w:tblStylePr w:type="firstCol">
      <w:rPr>
        <w:rFonts w:ascii="Arial" w:hAnsi="Arial"/>
        <w:i/>
        <w:color w:val="741111"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41111"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41111"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41111"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73">
    <w:name w:val="List Table 1 Light"/>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74">
    <w:name w:val="List Table 1 Light - Accent 1"/>
    <w:uiPriority w:val="99"/>
    <w:pPr>
      <w:spacing w:after="0" w:line="240" w:lineRule="auto"/>
    </w:pPr>
    <w:tblPr>
      <w:tblStyleRowBandSize w:val="1"/>
      <w:tblStyleColBandSize w:val="1"/>
      <w:tblInd w:w="0" w:type="dxa"/>
    </w:tblPr>
    <w:tblStylePr w:type="band1Horz">
      <w:tcPr>
        <w:shd w:val="clear" w:color="ffffff" w:themeColor="accent1" w:themeTint="40" w:fill="b6fdaa" w:themeFill="accent1" w:themeFillTint="40"/>
      </w:tcPr>
    </w:tblStylePr>
    <w:tblStylePr w:type="band1Vert">
      <w:tcPr>
        <w:shd w:val="clear" w:color="ffffff" w:themeColor="accent1" w:themeTint="40" w:fill="b6fdaa"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75">
    <w:name w:val="List Table 1 Light - Accent 2"/>
    <w:uiPriority w:val="99"/>
    <w:pPr>
      <w:spacing w:after="0" w:line="240" w:lineRule="auto"/>
    </w:pPr>
    <w:tblPr>
      <w:tblStyleRowBandSize w:val="1"/>
      <w:tblStyleColBandSize w:val="1"/>
      <w:tblInd w:w="0" w:type="dxa"/>
    </w:tblPr>
    <w:tblStylePr w:type="band1Horz">
      <w:tcPr>
        <w:shd w:val="clear" w:color="ffffff" w:themeColor="accent2" w:themeTint="40" w:fill="aae1fd" w:themeFill="accent2" w:themeFillTint="40"/>
      </w:tcPr>
    </w:tblStylePr>
    <w:tblStylePr w:type="band1Vert">
      <w:tcPr>
        <w:shd w:val="clear" w:color="ffffff" w:themeColor="accent2" w:themeTint="40" w:fill="aae1fd"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76">
    <w:name w:val="List Table 1 Light - Accent 3"/>
    <w:uiPriority w:val="99"/>
    <w:pPr>
      <w:spacing w:after="0" w:line="240" w:lineRule="auto"/>
    </w:pPr>
    <w:tblPr>
      <w:tblStyleRowBandSize w:val="1"/>
      <w:tblStyleColBandSize w:val="1"/>
      <w:tblInd w:w="0" w:type="dxa"/>
    </w:tblPr>
    <w:tblStylePr w:type="band1Horz">
      <w:tcPr>
        <w:shd w:val="clear" w:color="ffffff" w:themeColor="accent3" w:themeTint="40" w:fill="fdc7aa" w:themeFill="accent3" w:themeFillTint="40"/>
      </w:tcPr>
    </w:tblStylePr>
    <w:tblStylePr w:type="band1Vert">
      <w:tcPr>
        <w:shd w:val="clear" w:color="ffffff" w:themeColor="accent3" w:themeTint="40" w:fill="fdc7aa"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77">
    <w:name w:val="List Table 1 Light - Accent 4"/>
    <w:uiPriority w:val="99"/>
    <w:pPr>
      <w:spacing w:after="0" w:line="240" w:lineRule="auto"/>
    </w:pPr>
    <w:tblPr>
      <w:tblStyleRowBandSize w:val="1"/>
      <w:tblStyleColBandSize w:val="1"/>
      <w:tblInd w:w="0" w:type="dxa"/>
    </w:tblPr>
    <w:tblStylePr w:type="band1Horz">
      <w:tcPr>
        <w:shd w:val="clear" w:color="ffffff" w:themeColor="accent4" w:themeTint="40" w:fill="f0aafd" w:themeFill="accent4" w:themeFillTint="40"/>
      </w:tcPr>
    </w:tblStylePr>
    <w:tblStylePr w:type="band1Vert">
      <w:tcPr>
        <w:shd w:val="clear" w:color="ffffff" w:themeColor="accent4" w:themeTint="40" w:fill="f0aafd"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78">
    <w:name w:val="List Table 1 Light - Accent 5"/>
    <w:uiPriority w:val="99"/>
    <w:pPr>
      <w:spacing w:after="0" w:line="240" w:lineRule="auto"/>
    </w:pPr>
    <w:tblPr>
      <w:tblStyleRowBandSize w:val="1"/>
      <w:tblStyleColBandSize w:val="1"/>
      <w:tblInd w:w="0" w:type="dxa"/>
    </w:tblPr>
    <w:tblStylePr w:type="band1Horz">
      <w:tcPr>
        <w:shd w:val="clear" w:color="ffffff" w:themeColor="accent5" w:themeTint="40" w:fill="ffebb1" w:themeFill="accent5" w:themeFillTint="40"/>
      </w:tcPr>
    </w:tblStylePr>
    <w:tblStylePr w:type="band1Vert">
      <w:tcPr>
        <w:shd w:val="clear" w:color="ffffff" w:themeColor="accent5" w:themeTint="40" w:fill="ffebb1"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79">
    <w:name w:val="List Table 1 Light - Accent 6"/>
    <w:uiPriority w:val="99"/>
    <w:pPr>
      <w:spacing w:after="0" w:line="240" w:lineRule="auto"/>
    </w:pPr>
    <w:tblPr>
      <w:tblStyleRowBandSize w:val="1"/>
      <w:tblStyleColBandSize w:val="1"/>
      <w:tblInd w:w="0" w:type="dxa"/>
    </w:tblPr>
    <w:tblStylePr w:type="band1Horz">
      <w:tcPr>
        <w:shd w:val="clear" w:color="ffffff" w:themeColor="accent6" w:themeTint="40" w:fill="f5c2c2" w:themeFill="accent6" w:themeFillTint="40"/>
      </w:tcPr>
    </w:tblStylePr>
    <w:tblStylePr w:type="band1Vert">
      <w:tcPr>
        <w:shd w:val="clear" w:color="ffffff" w:themeColor="accent6" w:themeTint="40" w:fill="f5c2c2"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80">
    <w:name w:val="List Table 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81">
    <w:name w:val="List Table 2 - Accent 1"/>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b6fdaa" w:themeFill="accent1" w:themeFillTint="40"/>
      </w:tcPr>
    </w:tblStylePr>
    <w:tblStylePr w:type="band1Vert">
      <w:rPr>
        <w:rFonts w:ascii="Arial" w:hAnsi="Arial"/>
        <w:color w:val="404040"/>
        <w:sz w:val="22"/>
      </w:rPr>
      <w:tcPr>
        <w:shd w:val="clear" w:color="ffffff" w:themeColor="accent1" w:themeTint="40" w:fill="b6fdaa"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82">
    <w:name w:val="List Table 2 - Accent 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aae1fd" w:themeFill="accent2" w:themeFillTint="40"/>
      </w:tcPr>
    </w:tblStylePr>
    <w:tblStylePr w:type="band1Vert">
      <w:rPr>
        <w:rFonts w:ascii="Arial" w:hAnsi="Arial"/>
        <w:color w:val="404040"/>
        <w:sz w:val="22"/>
      </w:rPr>
      <w:tcPr>
        <w:shd w:val="clear" w:color="ffffff" w:themeColor="accent2" w:themeTint="40" w:fill="aae1fd"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83">
    <w:name w:val="List Table 2 - Accent 3"/>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fdc7aa" w:themeFill="accent3" w:themeFillTint="40"/>
      </w:tcPr>
    </w:tblStylePr>
    <w:tblStylePr w:type="band1Vert">
      <w:rPr>
        <w:rFonts w:ascii="Arial" w:hAnsi="Arial"/>
        <w:color w:val="404040"/>
        <w:sz w:val="22"/>
      </w:rPr>
      <w:tcPr>
        <w:shd w:val="clear" w:color="ffffff" w:themeColor="accent3" w:themeTint="40" w:fill="fdc7aa"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84">
    <w:name w:val="List Table 2 - Accent 4"/>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0aafd" w:themeFill="accent4" w:themeFillTint="40"/>
      </w:tcPr>
    </w:tblStylePr>
    <w:tblStylePr w:type="band1Vert">
      <w:rPr>
        <w:rFonts w:ascii="Arial" w:hAnsi="Arial"/>
        <w:color w:val="404040"/>
        <w:sz w:val="22"/>
      </w:rPr>
      <w:tcPr>
        <w:shd w:val="clear" w:color="ffffff" w:themeColor="accent4" w:themeTint="40" w:fill="f0aafd"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85">
    <w:name w:val="List Table 2 - Accent 5"/>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ffebb1" w:themeFill="accent5" w:themeFillTint="40"/>
      </w:tcPr>
    </w:tblStylePr>
    <w:tblStylePr w:type="band1Vert">
      <w:rPr>
        <w:rFonts w:ascii="Arial" w:hAnsi="Arial"/>
        <w:color w:val="404040"/>
        <w:sz w:val="22"/>
      </w:rPr>
      <w:tcPr>
        <w:shd w:val="clear" w:color="ffffff" w:themeColor="accent5" w:themeTint="40" w:fill="ffebb1"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86">
    <w:name w:val="List Table 2 - Accent 6"/>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5c2c2" w:themeFill="accent6" w:themeFillTint="40"/>
      </w:tcPr>
    </w:tblStylePr>
    <w:tblStylePr w:type="band1Vert">
      <w:rPr>
        <w:rFonts w:ascii="Arial" w:hAnsi="Arial"/>
        <w:color w:val="404040"/>
        <w:sz w:val="22"/>
      </w:rPr>
      <w:tcPr>
        <w:shd w:val="clear" w:color="ffffff" w:themeColor="accent6" w:themeTint="40" w:fill="f5c2c2"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87">
    <w:name w:val="List Table 3"/>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88">
    <w:name w:val="List Table 3 - Accent 1"/>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18a303" w:themeFill="accent1"/>
      </w:tcPr>
    </w:tblStylePr>
    <w:tblStylePr w:type="lastCol">
      <w:rPr>
        <w:b/>
        <w:color w:val="404040"/>
      </w:rPr>
    </w:tblStylePr>
    <w:tblStylePr w:type="lastRow">
      <w:rPr>
        <w:b/>
        <w:color w:val="404040"/>
      </w:rPr>
    </w:tblStylePr>
  </w:style>
  <w:style w:type="table" w:styleId="789">
    <w:name w:val="List Table 3 - Accent 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36b8fb" w:themeFill="accent2" w:themeFillTint="97"/>
      </w:tcPr>
    </w:tblStylePr>
    <w:tblStylePr w:type="lastCol">
      <w:rPr>
        <w:b/>
        <w:color w:val="404040"/>
      </w:rPr>
    </w:tblStylePr>
    <w:tblStylePr w:type="lastRow">
      <w:rPr>
        <w:b/>
        <w:color w:val="404040"/>
      </w:rPr>
    </w:tblStylePr>
  </w:style>
  <w:style w:type="table" w:styleId="790">
    <w:name w:val="List Table 3 - Accent 3"/>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fa7a35" w:themeFill="accent3" w:themeFillTint="98"/>
      </w:tcPr>
    </w:tblStylePr>
    <w:tblStylePr w:type="lastCol">
      <w:rPr>
        <w:b/>
        <w:color w:val="404040"/>
      </w:rPr>
    </w:tblStylePr>
    <w:tblStylePr w:type="lastRow">
      <w:rPr>
        <w:b/>
        <w:color w:val="404040"/>
      </w:rPr>
    </w:tblStylePr>
  </w:style>
  <w:style w:type="table" w:styleId="791">
    <w:name w:val="List Table 3 - Accent 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dc33fa" w:themeFill="accent4" w:themeFillTint="9A"/>
      </w:tcPr>
    </w:tblStylePr>
    <w:tblStylePr w:type="lastCol">
      <w:rPr>
        <w:b/>
        <w:color w:val="404040"/>
      </w:rPr>
    </w:tblStylePr>
    <w:tblStylePr w:type="lastRow">
      <w:rPr>
        <w:b/>
        <w:color w:val="404040"/>
      </w:rPr>
    </w:tblStylePr>
  </w:style>
  <w:style w:type="table" w:styleId="792">
    <w:name w:val="List Table 3 - Accent 5"/>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ffd042" w:themeFill="accent5" w:themeFillTint="9A"/>
      </w:tcPr>
    </w:tblStylePr>
    <w:tblStylePr w:type="lastCol">
      <w:rPr>
        <w:b/>
        <w:color w:val="404040"/>
      </w:rPr>
    </w:tblStylePr>
    <w:tblStylePr w:type="lastRow">
      <w:rPr>
        <w:b/>
        <w:color w:val="404040"/>
      </w:rPr>
    </w:tblStylePr>
  </w:style>
  <w:style w:type="table" w:styleId="793">
    <w:name w:val="List Table 3 - Accent 6"/>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e96e6e" w:themeFill="accent6" w:themeFillTint="98"/>
      </w:tcPr>
    </w:tblStylePr>
    <w:tblStylePr w:type="lastCol">
      <w:rPr>
        <w:b/>
        <w:color w:val="404040"/>
      </w:rPr>
    </w:tblStylePr>
    <w:tblStylePr w:type="lastRow">
      <w:rPr>
        <w:b/>
        <w:color w:val="404040"/>
      </w:rPr>
    </w:tblStylePr>
  </w:style>
  <w:style w:type="table" w:styleId="794">
    <w:name w:val="List Table 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95">
    <w:name w:val="List Table 4 - Accent 1"/>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b6fdaa" w:themeFill="accent1" w:themeFillTint="40"/>
      </w:tcPr>
    </w:tblStylePr>
    <w:tblStylePr w:type="band1Vert">
      <w:rPr>
        <w:rFonts w:ascii="Arial" w:hAnsi="Arial"/>
        <w:color w:val="404040"/>
        <w:sz w:val="22"/>
      </w:rPr>
      <w:tcPr>
        <w:shd w:val="clear" w:color="ffffff" w:themeColor="accent1" w:themeTint="40" w:fill="b6fdaa"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18a303" w:themeFill="accent1"/>
      </w:tcPr>
    </w:tblStylePr>
    <w:tblStylePr w:type="lastCol">
      <w:rPr>
        <w:b/>
        <w:color w:val="404040"/>
      </w:rPr>
    </w:tblStylePr>
    <w:tblStylePr w:type="lastRow">
      <w:rPr>
        <w:b/>
        <w:color w:val="404040"/>
      </w:rPr>
    </w:tblStylePr>
  </w:style>
  <w:style w:type="table" w:styleId="796">
    <w:name w:val="List Table 4 - Accent 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aae1fd" w:themeFill="accent2" w:themeFillTint="40"/>
      </w:tcPr>
    </w:tblStylePr>
    <w:tblStylePr w:type="band1Vert">
      <w:rPr>
        <w:rFonts w:ascii="Arial" w:hAnsi="Arial"/>
        <w:color w:val="404040"/>
        <w:sz w:val="22"/>
      </w:rPr>
      <w:tcPr>
        <w:shd w:val="clear" w:color="ffffff" w:themeColor="accent2" w:themeTint="40" w:fill="aae1fd"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0369a3" w:themeFill="accent2"/>
      </w:tcPr>
    </w:tblStylePr>
    <w:tblStylePr w:type="lastCol">
      <w:rPr>
        <w:b/>
        <w:color w:val="404040"/>
      </w:rPr>
    </w:tblStylePr>
    <w:tblStylePr w:type="lastRow">
      <w:rPr>
        <w:b/>
        <w:color w:val="404040"/>
      </w:rPr>
    </w:tblStylePr>
  </w:style>
  <w:style w:type="table" w:styleId="797">
    <w:name w:val="List Table 4 - Accent 3"/>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fdc7aa" w:themeFill="accent3" w:themeFillTint="40"/>
      </w:tcPr>
    </w:tblStylePr>
    <w:tblStylePr w:type="band1Vert">
      <w:rPr>
        <w:rFonts w:ascii="Arial" w:hAnsi="Arial"/>
        <w:color w:val="404040"/>
        <w:sz w:val="22"/>
      </w:rPr>
      <w:tcPr>
        <w:shd w:val="clear" w:color="ffffff" w:themeColor="accent3" w:themeTint="40" w:fill="fdc7aa"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33e03" w:themeFill="accent3"/>
      </w:tcPr>
    </w:tblStylePr>
    <w:tblStylePr w:type="lastCol">
      <w:rPr>
        <w:b/>
        <w:color w:val="404040"/>
      </w:rPr>
    </w:tblStylePr>
    <w:tblStylePr w:type="lastRow">
      <w:rPr>
        <w:b/>
        <w:color w:val="404040"/>
      </w:rPr>
    </w:tblStylePr>
  </w:style>
  <w:style w:type="table" w:styleId="798">
    <w:name w:val="List Table 4 - Accent 4"/>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0aafd" w:themeFill="accent4" w:themeFillTint="40"/>
      </w:tcPr>
    </w:tblStylePr>
    <w:tblStylePr w:type="band1Vert">
      <w:rPr>
        <w:rFonts w:ascii="Arial" w:hAnsi="Arial"/>
        <w:color w:val="404040"/>
        <w:sz w:val="22"/>
      </w:rPr>
      <w:tcPr>
        <w:shd w:val="clear" w:color="ffffff" w:themeColor="accent4" w:themeTint="40" w:fill="f0aafd"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e03a3" w:themeFill="accent4"/>
      </w:tcPr>
    </w:tblStylePr>
    <w:tblStylePr w:type="lastCol">
      <w:rPr>
        <w:b/>
        <w:color w:val="404040"/>
      </w:rPr>
    </w:tblStylePr>
    <w:tblStylePr w:type="lastRow">
      <w:rPr>
        <w:b/>
        <w:color w:val="404040"/>
      </w:rPr>
    </w:tblStylePr>
  </w:style>
  <w:style w:type="table" w:styleId="799">
    <w:name w:val="List Table 4 - Accent 5"/>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ffebb1" w:themeFill="accent5" w:themeFillTint="40"/>
      </w:tcPr>
    </w:tblStylePr>
    <w:tblStylePr w:type="band1Vert">
      <w:rPr>
        <w:rFonts w:ascii="Arial" w:hAnsi="Arial"/>
        <w:color w:val="404040"/>
        <w:sz w:val="22"/>
      </w:rPr>
      <w:tcPr>
        <w:shd w:val="clear" w:color="ffffff" w:themeColor="accent5" w:themeTint="40" w:fill="ffebb1"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c99c00" w:themeFill="accent5"/>
      </w:tcPr>
    </w:tblStylePr>
    <w:tblStylePr w:type="lastCol">
      <w:rPr>
        <w:b/>
        <w:color w:val="404040"/>
      </w:rPr>
    </w:tblStylePr>
    <w:tblStylePr w:type="lastRow">
      <w:rPr>
        <w:b/>
        <w:color w:val="404040"/>
      </w:rPr>
    </w:tblStylePr>
  </w:style>
  <w:style w:type="table" w:styleId="800">
    <w:name w:val="List Table 4 - Accent 6"/>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5c2c2" w:themeFill="accent6" w:themeFillTint="40"/>
      </w:tcPr>
    </w:tblStylePr>
    <w:tblStylePr w:type="band1Vert">
      <w:rPr>
        <w:rFonts w:ascii="Arial" w:hAnsi="Arial"/>
        <w:color w:val="404040"/>
        <w:sz w:val="22"/>
      </w:rPr>
      <w:tcPr>
        <w:shd w:val="clear" w:color="ffffff" w:themeColor="accent6" w:themeTint="40" w:fill="f5c2c2"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c9211e" w:themeFill="accent6"/>
      </w:tcPr>
    </w:tblStylePr>
    <w:tblStylePr w:type="lastCol">
      <w:rPr>
        <w:b/>
        <w:color w:val="404040"/>
      </w:rPr>
    </w:tblStylePr>
    <w:tblStylePr w:type="lastRow">
      <w:rPr>
        <w:b/>
        <w:color w:val="404040"/>
      </w:rPr>
    </w:tblStylePr>
  </w:style>
  <w:style w:type="table" w:styleId="801">
    <w:name w:val="List Table 5 Dark"/>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2">
    <w:name w:val="List Table 5 Dark - Accent 1"/>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blStylePr w:type="band1Horz">
      <w:tcPr>
        <w:shd w:val="clear" w:color="ffffff" w:themeColor="accent1" w:fill="18a303" w:themeFill="accent1"/>
        <w:tcBorders>
          <w:top w:val="single" w:color="000000" w:themeColor="light1" w:sz="4" w:space="0"/>
          <w:bottom w:val="single" w:color="000000" w:themeColor="light1" w:sz="4" w:space="0"/>
        </w:tcBorders>
      </w:tcPr>
    </w:tblStylePr>
    <w:tblStylePr w:type="band1Vert">
      <w:tcPr>
        <w:shd w:val="clear" w:color="ffffff" w:themeColor="accent1" w:fill="18a303" w:themeFill="accent1"/>
        <w:tcBorders>
          <w:left w:val="single" w:color="000000" w:themeColor="light1" w:sz="4" w:space="0"/>
          <w:right w:val="single" w:color="000000" w:themeColor="light1" w:sz="4" w:space="0"/>
        </w:tcBorders>
      </w:tcPr>
    </w:tblStylePr>
    <w:tblStylePr w:type="band2Horz">
      <w:tcPr>
        <w:shd w:val="clear" w:color="ffffff" w:themeColor="accent1" w:fill="18a303"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18a303"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3">
    <w:name w:val="List Table 5 Dark - Accent 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6b8fb" w:themeFill="accent2" w:themeFillTint="97"/>
    </w:tblPr>
    <w:tblStylePr w:type="band1Horz">
      <w:tcPr>
        <w:shd w:val="clear" w:color="ffffff" w:themeColor="accent2" w:themeTint="97" w:fill="36b8fb"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36b8fb"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36b8fb"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36b8fb"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4">
    <w:name w:val="List Table 5 Dark - Accent 3"/>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a7a35" w:themeFill="accent3" w:themeFillTint="98"/>
    </w:tblPr>
    <w:tblStylePr w:type="band1Horz">
      <w:tcPr>
        <w:shd w:val="clear" w:color="ffffff" w:themeColor="accent3" w:themeTint="98" w:fill="fa7a35"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fa7a35"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fa7a35"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fa7a35"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5">
    <w:name w:val="List Table 5 Dark - Accent 4"/>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dc33fa" w:themeFill="accent4" w:themeFillTint="9A"/>
    </w:tblPr>
    <w:tblStylePr w:type="band1Horz">
      <w:tcPr>
        <w:shd w:val="clear" w:color="ffffff" w:themeColor="accent4" w:themeTint="9A" w:fill="dc33fa"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dc33fa"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dc33fa"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dc33fa"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6">
    <w:name w:val="List Table 5 Dark - Accent 5"/>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042" w:themeFill="accent5" w:themeFillTint="9A"/>
    </w:tblPr>
    <w:tblStylePr w:type="band1Horz">
      <w:tcPr>
        <w:shd w:val="clear" w:color="ffffff" w:themeColor="accent5" w:themeTint="9A" w:fill="ffd042"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ffd042"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ffd042"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ffd042"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7">
    <w:name w:val="List Table 5 Dark - Accent 6"/>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6e6e" w:themeFill="accent6" w:themeFillTint="98"/>
    </w:tblPr>
    <w:tblStylePr w:type="band1Horz">
      <w:tcPr>
        <w:shd w:val="clear" w:color="ffffff" w:themeColor="accent6" w:themeTint="98" w:fill="e96e6e"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e96e6e"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e96e6e"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e96e6e"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8">
    <w:name w:val="List Table 6 Colorful"/>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809">
    <w:name w:val="List Table 6 Colorful - Accent 1"/>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b6fdaa" w:themeFill="accent1" w:themeFillTint="40"/>
      </w:tcPr>
    </w:tblStylePr>
    <w:tblStylePr w:type="band1Vert">
      <w:tcPr>
        <w:shd w:val="clear" w:color="ffffff" w:themeColor="accent1" w:themeTint="40" w:fill="b6fdaa" w:themeFill="accent1" w:themeFillTint="40"/>
      </w:tcPr>
    </w:tblStylePr>
    <w:tblStylePr w:type="band2Horz">
      <w:rPr>
        <w:rFonts w:ascii="Arial" w:hAnsi="Arial"/>
        <w:color w:val="404040" w:themeColor="accent1" w:themeShade="95"/>
        <w:sz w:val="22"/>
      </w:rPr>
    </w:tblStylePr>
    <w:tblStylePr w:type="firstCol">
      <w:rPr>
        <w:b/>
        <w:color w:val="0e5e01" w:themeColor="accent1" w:themeShade="95"/>
      </w:rPr>
    </w:tblStylePr>
    <w:tblStylePr w:type="firstRow">
      <w:rPr>
        <w:b/>
        <w:color w:val="0e5e01" w:themeColor="accent1" w:themeShade="95"/>
      </w:rPr>
      <w:tcPr>
        <w:tcBorders>
          <w:bottom w:val="single" w:color="000000" w:themeColor="accent1" w:sz="4" w:space="0"/>
        </w:tcBorders>
      </w:tcPr>
    </w:tblStylePr>
    <w:tblStylePr w:type="lastCol">
      <w:rPr>
        <w:b/>
        <w:color w:val="0e5e01" w:themeColor="accent1" w:themeShade="95"/>
      </w:rPr>
    </w:tblStylePr>
    <w:tblStylePr w:type="lastRow">
      <w:rPr>
        <w:b/>
        <w:color w:val="0e5e01" w:themeColor="accent1" w:themeShade="95"/>
      </w:rPr>
      <w:tcPr>
        <w:tcBorders>
          <w:top w:val="single" w:color="000000" w:themeColor="accent1" w:sz="4" w:space="0"/>
        </w:tcBorders>
      </w:tcPr>
    </w:tblStylePr>
  </w:style>
  <w:style w:type="table" w:styleId="810">
    <w:name w:val="List Table 6 Colorful - Accent 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aae1fd" w:themeFill="accent2" w:themeFillTint="40"/>
      </w:tcPr>
    </w:tblStylePr>
    <w:tblStylePr w:type="band1Vert">
      <w:tcPr>
        <w:shd w:val="clear" w:color="ffffff" w:themeColor="accent2" w:themeTint="40" w:fill="aae1fd" w:themeFill="accent2" w:themeFillTint="40"/>
      </w:tcPr>
    </w:tblStylePr>
    <w:tblStylePr w:type="band2Horz">
      <w:rPr>
        <w:rFonts w:ascii="Arial" w:hAnsi="Arial"/>
        <w:color w:val="404040" w:themeColor="accent2" w:themeTint="97" w:themeShade="95"/>
        <w:sz w:val="22"/>
      </w:rPr>
    </w:tblStylePr>
    <w:tblStylePr w:type="firstCol">
      <w:rPr>
        <w:b/>
        <w:color w:val="0378ae" w:themeColor="accent2" w:themeTint="97" w:themeShade="95"/>
      </w:rPr>
    </w:tblStylePr>
    <w:tblStylePr w:type="firstRow">
      <w:rPr>
        <w:b/>
        <w:color w:val="0378ae" w:themeColor="accent2" w:themeTint="97" w:themeShade="95"/>
      </w:rPr>
      <w:tcPr>
        <w:tcBorders>
          <w:bottom w:val="single" w:color="000000" w:themeColor="accent2" w:themeTint="97" w:sz="4" w:space="0"/>
        </w:tcBorders>
      </w:tcPr>
    </w:tblStylePr>
    <w:tblStylePr w:type="lastCol">
      <w:rPr>
        <w:b/>
        <w:color w:val="0378ae" w:themeColor="accent2" w:themeTint="97" w:themeShade="95"/>
      </w:rPr>
    </w:tblStylePr>
    <w:tblStylePr w:type="lastRow">
      <w:rPr>
        <w:b/>
        <w:color w:val="0378ae" w:themeColor="accent2" w:themeTint="97" w:themeShade="95"/>
      </w:rPr>
      <w:tcPr>
        <w:tcBorders>
          <w:top w:val="single" w:color="000000" w:themeColor="accent2" w:themeTint="97" w:sz="4" w:space="0"/>
        </w:tcBorders>
      </w:tcPr>
    </w:tblStylePr>
  </w:style>
  <w:style w:type="table" w:styleId="811">
    <w:name w:val="List Table 6 Colorful - Accent 3"/>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fdc7aa" w:themeFill="accent3" w:themeFillTint="40"/>
      </w:tcPr>
    </w:tblStylePr>
    <w:tblStylePr w:type="band1Vert">
      <w:tcPr>
        <w:shd w:val="clear" w:color="ffffff" w:themeColor="accent3" w:themeTint="40" w:fill="fdc7aa" w:themeFill="accent3" w:themeFillTint="40"/>
      </w:tcPr>
    </w:tblStylePr>
    <w:tblStylePr w:type="band2Horz">
      <w:rPr>
        <w:rFonts w:ascii="Arial" w:hAnsi="Arial"/>
        <w:color w:val="404040" w:themeColor="accent3" w:themeTint="98" w:themeShade="95"/>
        <w:sz w:val="22"/>
      </w:rPr>
    </w:tblStylePr>
    <w:tblStylePr w:type="firstCol">
      <w:rPr>
        <w:b/>
        <w:color w:val="ab3b04" w:themeColor="accent3" w:themeTint="98" w:themeShade="95"/>
      </w:rPr>
    </w:tblStylePr>
    <w:tblStylePr w:type="firstRow">
      <w:rPr>
        <w:b/>
        <w:color w:val="ab3b04" w:themeColor="accent3" w:themeTint="98" w:themeShade="95"/>
      </w:rPr>
      <w:tcPr>
        <w:tcBorders>
          <w:bottom w:val="single" w:color="000000" w:themeColor="accent3" w:themeTint="98" w:sz="4" w:space="0"/>
        </w:tcBorders>
      </w:tcPr>
    </w:tblStylePr>
    <w:tblStylePr w:type="lastCol">
      <w:rPr>
        <w:b/>
        <w:color w:val="ab3b04" w:themeColor="accent3" w:themeTint="98" w:themeShade="95"/>
      </w:rPr>
    </w:tblStylePr>
    <w:tblStylePr w:type="lastRow">
      <w:rPr>
        <w:b/>
        <w:color w:val="ab3b04" w:themeColor="accent3" w:themeTint="98" w:themeShade="95"/>
      </w:rPr>
      <w:tcPr>
        <w:tcBorders>
          <w:top w:val="single" w:color="000000" w:themeColor="accent3" w:themeTint="98" w:sz="4" w:space="0"/>
        </w:tcBorders>
      </w:tcPr>
    </w:tblStylePr>
  </w:style>
  <w:style w:type="table" w:styleId="812">
    <w:name w:val="List Table 6 Colorful - Accent 4"/>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0aafd" w:themeFill="accent4" w:themeFillTint="40"/>
      </w:tcPr>
    </w:tblStylePr>
    <w:tblStylePr w:type="band1Vert">
      <w:tcPr>
        <w:shd w:val="clear" w:color="ffffff" w:themeColor="accent4" w:themeTint="40" w:fill="f0aafd" w:themeFill="accent4" w:themeFillTint="40"/>
      </w:tcPr>
    </w:tblStylePr>
    <w:tblStylePr w:type="band2Horz">
      <w:rPr>
        <w:rFonts w:ascii="Arial" w:hAnsi="Arial"/>
        <w:color w:val="404040" w:themeColor="accent4" w:themeTint="9A" w:themeShade="95"/>
        <w:sz w:val="22"/>
      </w:rPr>
    </w:tblStylePr>
    <w:tblStylePr w:type="firstCol">
      <w:rPr>
        <w:b/>
        <w:color w:val="9104ab" w:themeColor="accent4" w:themeTint="9A" w:themeShade="95"/>
      </w:rPr>
    </w:tblStylePr>
    <w:tblStylePr w:type="firstRow">
      <w:rPr>
        <w:b/>
        <w:color w:val="9104ab" w:themeColor="accent4" w:themeTint="9A" w:themeShade="95"/>
      </w:rPr>
      <w:tcPr>
        <w:tcBorders>
          <w:bottom w:val="single" w:color="000000" w:themeColor="accent4" w:themeTint="9A" w:sz="4" w:space="0"/>
        </w:tcBorders>
      </w:tcPr>
    </w:tblStylePr>
    <w:tblStylePr w:type="lastCol">
      <w:rPr>
        <w:b/>
        <w:color w:val="9104ab" w:themeColor="accent4" w:themeTint="9A" w:themeShade="95"/>
      </w:rPr>
    </w:tblStylePr>
    <w:tblStylePr w:type="lastRow">
      <w:rPr>
        <w:b/>
        <w:color w:val="9104ab" w:themeColor="accent4" w:themeTint="9A" w:themeShade="95"/>
      </w:rPr>
      <w:tcPr>
        <w:tcBorders>
          <w:top w:val="single" w:color="000000" w:themeColor="accent4" w:themeTint="9A" w:sz="4" w:space="0"/>
        </w:tcBorders>
      </w:tcPr>
    </w:tblStylePr>
  </w:style>
  <w:style w:type="table" w:styleId="813">
    <w:name w:val="List Table 6 Colorful - Accent 5"/>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ffebb1" w:themeFill="accent5" w:themeFillTint="40"/>
      </w:tcPr>
    </w:tblStylePr>
    <w:tblStylePr w:type="band1Vert">
      <w:tcPr>
        <w:shd w:val="clear" w:color="ffffff" w:themeColor="accent5" w:themeTint="40" w:fill="ffebb1" w:themeFill="accent5" w:themeFillTint="40"/>
      </w:tcPr>
    </w:tblStylePr>
    <w:tblStylePr w:type="band2Horz">
      <w:rPr>
        <w:rFonts w:ascii="Arial" w:hAnsi="Arial"/>
        <w:color w:val="404040" w:themeColor="accent5" w:themeTint="9A" w:themeShade="95"/>
        <w:sz w:val="22"/>
      </w:rPr>
    </w:tblStylePr>
    <w:tblStylePr w:type="firstCol">
      <w:rPr>
        <w:b/>
        <w:color w:val="ba8700" w:themeColor="accent5" w:themeTint="9A" w:themeShade="95"/>
      </w:rPr>
    </w:tblStylePr>
    <w:tblStylePr w:type="firstRow">
      <w:rPr>
        <w:b/>
        <w:color w:val="ba8700" w:themeColor="accent5" w:themeTint="9A" w:themeShade="95"/>
      </w:rPr>
      <w:tcPr>
        <w:tcBorders>
          <w:bottom w:val="single" w:color="000000" w:themeColor="accent5" w:themeTint="9A" w:sz="4" w:space="0"/>
        </w:tcBorders>
      </w:tcPr>
    </w:tblStylePr>
    <w:tblStylePr w:type="lastCol">
      <w:rPr>
        <w:b/>
        <w:color w:val="ba8700" w:themeColor="accent5" w:themeTint="9A" w:themeShade="95"/>
      </w:rPr>
    </w:tblStylePr>
    <w:tblStylePr w:type="lastRow">
      <w:rPr>
        <w:b/>
        <w:color w:val="ba8700" w:themeColor="accent5" w:themeTint="9A" w:themeShade="95"/>
      </w:rPr>
      <w:tcPr>
        <w:tcBorders>
          <w:top w:val="single" w:color="000000" w:themeColor="accent5" w:themeTint="9A" w:sz="4" w:space="0"/>
        </w:tcBorders>
      </w:tcPr>
    </w:tblStylePr>
  </w:style>
  <w:style w:type="table" w:styleId="814">
    <w:name w:val="List Table 6 Colorful - Accent 6"/>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5c2c2" w:themeFill="accent6" w:themeFillTint="40"/>
      </w:tcPr>
    </w:tblStylePr>
    <w:tblStylePr w:type="band1Vert">
      <w:tcPr>
        <w:shd w:val="clear" w:color="ffffff" w:themeColor="accent6" w:themeTint="40" w:fill="f5c2c2" w:themeFill="accent6" w:themeFillTint="40"/>
      </w:tcPr>
    </w:tblStylePr>
    <w:tblStylePr w:type="band2Horz">
      <w:rPr>
        <w:rFonts w:ascii="Arial" w:hAnsi="Arial"/>
        <w:color w:val="404040" w:themeColor="accent6" w:themeTint="98" w:themeShade="95"/>
        <w:sz w:val="22"/>
      </w:rPr>
    </w:tblStylePr>
    <w:tblStylePr w:type="firstCol">
      <w:rPr>
        <w:b/>
        <w:color w:val="ad1a1a" w:themeColor="accent6" w:themeTint="98" w:themeShade="95"/>
      </w:rPr>
    </w:tblStylePr>
    <w:tblStylePr w:type="firstRow">
      <w:rPr>
        <w:b/>
        <w:color w:val="ad1a1a" w:themeColor="accent6" w:themeTint="98" w:themeShade="95"/>
      </w:rPr>
      <w:tcPr>
        <w:tcBorders>
          <w:bottom w:val="single" w:color="000000" w:themeColor="accent6" w:themeTint="98" w:sz="4" w:space="0"/>
        </w:tcBorders>
      </w:tcPr>
    </w:tblStylePr>
    <w:tblStylePr w:type="lastCol">
      <w:rPr>
        <w:b/>
        <w:color w:val="ad1a1a" w:themeColor="accent6" w:themeTint="98" w:themeShade="95"/>
      </w:rPr>
    </w:tblStylePr>
    <w:tblStylePr w:type="lastRow">
      <w:rPr>
        <w:b/>
        <w:color w:val="ad1a1a" w:themeColor="accent6" w:themeTint="98" w:themeShade="95"/>
      </w:rPr>
      <w:tcPr>
        <w:tcBorders>
          <w:top w:val="single" w:color="000000" w:themeColor="accent6" w:themeTint="98" w:sz="4" w:space="0"/>
        </w:tcBorders>
      </w:tcPr>
    </w:tblStylePr>
  </w:style>
  <w:style w:type="table" w:styleId="815">
    <w:name w:val="List Table 7 Colorful"/>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816">
    <w:name w:val="List Table 7 Colorful - Accent 1"/>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0e5e01" w:themeColor="accent1" w:themeShade="95"/>
        <w:sz w:val="22"/>
      </w:rPr>
      <w:tcPr>
        <w:shd w:val="clear" w:color="ffffff" w:themeColor="accent1" w:themeTint="40" w:fill="b6fdaa" w:themeFill="accent1" w:themeFillTint="40"/>
      </w:tcPr>
    </w:tblStylePr>
    <w:tblStylePr w:type="band1Vert">
      <w:tcPr>
        <w:shd w:val="clear" w:color="ffffff" w:themeColor="accent1" w:themeTint="40" w:fill="b6fdaa" w:themeFill="accent1" w:themeFillTint="40"/>
      </w:tcPr>
    </w:tblStylePr>
    <w:tblStylePr w:type="band2Horz">
      <w:rPr>
        <w:rFonts w:ascii="Arial" w:hAnsi="Arial"/>
        <w:color w:val="0e5e01" w:themeColor="accent1" w:themeShade="95"/>
        <w:sz w:val="22"/>
      </w:rPr>
    </w:tblStylePr>
    <w:tblStylePr w:type="firstCol">
      <w:rPr>
        <w:rFonts w:ascii="Arial" w:hAnsi="Arial"/>
        <w:i/>
        <w:color w:val="0e5e0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e0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e0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e0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0e5e01" w:themeColor="accent1" w:themeShade="95"/>
        <w:sz w:val="22"/>
      </w:rPr>
    </w:tblStylePr>
  </w:style>
  <w:style w:type="table" w:styleId="817">
    <w:name w:val="List Table 7 Colorful - Accent 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0378ae" w:themeColor="accent2" w:themeTint="97" w:themeShade="95"/>
        <w:sz w:val="22"/>
      </w:rPr>
      <w:tcPr>
        <w:shd w:val="clear" w:color="ffffff" w:themeColor="accent2" w:themeTint="40" w:fill="aae1fd" w:themeFill="accent2" w:themeFillTint="40"/>
      </w:tcPr>
    </w:tblStylePr>
    <w:tblStylePr w:type="band1Vert">
      <w:tcPr>
        <w:shd w:val="clear" w:color="ffffff" w:themeColor="accent2" w:themeTint="40" w:fill="aae1fd" w:themeFill="accent2" w:themeFillTint="40"/>
      </w:tcPr>
    </w:tblStylePr>
    <w:tblStylePr w:type="band2Horz">
      <w:rPr>
        <w:rFonts w:ascii="Arial" w:hAnsi="Arial"/>
        <w:color w:val="0378ae" w:themeColor="accent2" w:themeTint="97" w:themeShade="95"/>
        <w:sz w:val="22"/>
      </w:rPr>
    </w:tblStylePr>
    <w:tblStylePr w:type="firstCol">
      <w:rPr>
        <w:rFonts w:ascii="Arial" w:hAnsi="Arial"/>
        <w:i/>
        <w:color w:val="0378ae"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378ae"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8ae"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378ae"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0378ae" w:themeColor="accent2" w:themeTint="97" w:themeShade="95"/>
        <w:sz w:val="22"/>
      </w:rPr>
    </w:tblStylePr>
  </w:style>
  <w:style w:type="table" w:styleId="818">
    <w:name w:val="List Table 7 Colorful - Accent 3"/>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ab3b04" w:themeColor="accent3" w:themeTint="98" w:themeShade="95"/>
        <w:sz w:val="22"/>
      </w:rPr>
      <w:tcPr>
        <w:shd w:val="clear" w:color="ffffff" w:themeColor="accent3" w:themeTint="40" w:fill="fdc7aa" w:themeFill="accent3" w:themeFillTint="40"/>
      </w:tcPr>
    </w:tblStylePr>
    <w:tblStylePr w:type="band1Vert">
      <w:tcPr>
        <w:shd w:val="clear" w:color="ffffff" w:themeColor="accent3" w:themeTint="40" w:fill="fdc7aa" w:themeFill="accent3" w:themeFillTint="40"/>
      </w:tcPr>
    </w:tblStylePr>
    <w:tblStylePr w:type="band2Horz">
      <w:rPr>
        <w:rFonts w:ascii="Arial" w:hAnsi="Arial"/>
        <w:color w:val="ab3b04" w:themeColor="accent3" w:themeTint="98" w:themeShade="95"/>
        <w:sz w:val="22"/>
      </w:rPr>
    </w:tblStylePr>
    <w:tblStylePr w:type="firstCol">
      <w:rPr>
        <w:rFonts w:ascii="Arial" w:hAnsi="Arial"/>
        <w:i/>
        <w:color w:val="ab3b04"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b3b04"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b3b04"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b3b04"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ab3b04" w:themeColor="accent3" w:themeTint="98" w:themeShade="95"/>
        <w:sz w:val="22"/>
      </w:rPr>
    </w:tblStylePr>
  </w:style>
  <w:style w:type="table" w:styleId="819">
    <w:name w:val="List Table 7 Colorful - Accent 4"/>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9104ab" w:themeColor="accent4" w:themeTint="9A" w:themeShade="95"/>
        <w:sz w:val="22"/>
      </w:rPr>
      <w:tcPr>
        <w:shd w:val="clear" w:color="ffffff" w:themeColor="accent4" w:themeTint="40" w:fill="f0aafd" w:themeFill="accent4" w:themeFillTint="40"/>
      </w:tcPr>
    </w:tblStylePr>
    <w:tblStylePr w:type="band1Vert">
      <w:tcPr>
        <w:shd w:val="clear" w:color="ffffff" w:themeColor="accent4" w:themeTint="40" w:fill="f0aafd" w:themeFill="accent4" w:themeFillTint="40"/>
      </w:tcPr>
    </w:tblStylePr>
    <w:tblStylePr w:type="band2Horz">
      <w:rPr>
        <w:rFonts w:ascii="Arial" w:hAnsi="Arial"/>
        <w:color w:val="9104ab" w:themeColor="accent4" w:themeTint="9A" w:themeShade="95"/>
        <w:sz w:val="22"/>
      </w:rPr>
    </w:tblStylePr>
    <w:tblStylePr w:type="firstCol">
      <w:rPr>
        <w:rFonts w:ascii="Arial" w:hAnsi="Arial"/>
        <w:i/>
        <w:color w:val="9104ab"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104ab"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104ab"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104ab"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9104ab" w:themeColor="accent4" w:themeTint="9A" w:themeShade="95"/>
        <w:sz w:val="22"/>
      </w:rPr>
    </w:tblStylePr>
  </w:style>
  <w:style w:type="table" w:styleId="820">
    <w:name w:val="List Table 7 Colorful - Accent 5"/>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ba8700" w:themeColor="accent5" w:themeTint="9A" w:themeShade="95"/>
        <w:sz w:val="22"/>
      </w:rPr>
      <w:tcPr>
        <w:shd w:val="clear" w:color="ffffff" w:themeColor="accent5" w:themeTint="40" w:fill="ffebb1" w:themeFill="accent5" w:themeFillTint="40"/>
      </w:tcPr>
    </w:tblStylePr>
    <w:tblStylePr w:type="band1Vert">
      <w:tcPr>
        <w:shd w:val="clear" w:color="ffffff" w:themeColor="accent5" w:themeTint="40" w:fill="ffebb1" w:themeFill="accent5" w:themeFillTint="40"/>
      </w:tcPr>
    </w:tblStylePr>
    <w:tblStylePr w:type="band2Horz">
      <w:rPr>
        <w:rFonts w:ascii="Arial" w:hAnsi="Arial"/>
        <w:color w:val="ba8700" w:themeColor="accent5" w:themeTint="9A" w:themeShade="95"/>
        <w:sz w:val="22"/>
      </w:rPr>
    </w:tblStylePr>
    <w:tblStylePr w:type="firstCol">
      <w:rPr>
        <w:rFonts w:ascii="Arial" w:hAnsi="Arial"/>
        <w:i/>
        <w:color w:val="ba870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a870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a870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a870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ba8700" w:themeColor="accent5" w:themeTint="9A" w:themeShade="95"/>
        <w:sz w:val="22"/>
      </w:rPr>
    </w:tblStylePr>
  </w:style>
  <w:style w:type="table" w:styleId="821">
    <w:name w:val="List Table 7 Colorful - Accent 6"/>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ad1a1a" w:themeColor="accent6" w:themeTint="98" w:themeShade="95"/>
        <w:sz w:val="22"/>
      </w:rPr>
      <w:tcPr>
        <w:shd w:val="clear" w:color="ffffff" w:themeColor="accent6" w:themeTint="40" w:fill="f5c2c2" w:themeFill="accent6" w:themeFillTint="40"/>
      </w:tcPr>
    </w:tblStylePr>
    <w:tblStylePr w:type="band1Vert">
      <w:tcPr>
        <w:shd w:val="clear" w:color="ffffff" w:themeColor="accent6" w:themeTint="40" w:fill="f5c2c2" w:themeFill="accent6" w:themeFillTint="40"/>
      </w:tcPr>
    </w:tblStylePr>
    <w:tblStylePr w:type="band2Horz">
      <w:rPr>
        <w:rFonts w:ascii="Arial" w:hAnsi="Arial"/>
        <w:color w:val="ad1a1a" w:themeColor="accent6" w:themeTint="98" w:themeShade="95"/>
        <w:sz w:val="22"/>
      </w:rPr>
    </w:tblStylePr>
    <w:tblStylePr w:type="firstCol">
      <w:rPr>
        <w:rFonts w:ascii="Arial" w:hAnsi="Arial"/>
        <w:i/>
        <w:color w:val="ad1a1a"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d1a1a"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d1a1a"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d1a1a"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ad1a1a" w:themeColor="accent6" w:themeTint="98" w:themeShade="95"/>
        <w:sz w:val="22"/>
      </w:rPr>
    </w:tblStylePr>
  </w:style>
  <w:style w:type="table" w:styleId="822">
    <w:name w:val="Lined - Accent"/>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23">
    <w:name w:val="Lined - Accent 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a3fc95" w:themeFill="accent1" w:themeFillTint="50"/>
      </w:tcPr>
    </w:tblStylePr>
    <w:tblStylePr w:type="band2Vert">
      <w:rPr>
        <w:rFonts w:ascii="Arial" w:hAnsi="Arial"/>
        <w:color w:val="404040"/>
        <w:sz w:val="22"/>
      </w:rPr>
      <w:tcPr>
        <w:shd w:val="clear" w:color="ffffff" w:themeColor="accent1" w:themeTint="50" w:fill="a3fc95" w:themeFill="accent1" w:themeFillTint="50"/>
      </w:tcPr>
    </w:tblStylePr>
    <w:tblStylePr w:type="firstCol">
      <w:rPr>
        <w:rFonts w:ascii="Arial" w:hAnsi="Arial"/>
        <w:color w:val="f2f2f2"/>
        <w:sz w:val="22"/>
      </w:rPr>
      <w:tcPr>
        <w:shd w:val="clear" w:color="ffffff" w:themeColor="accent1" w:themeTint="EA" w:fill="1ebe03" w:themeFill="accent1" w:themeFillTint="EA"/>
      </w:tcPr>
    </w:tblStylePr>
    <w:tblStylePr w:type="firstRow">
      <w:rPr>
        <w:rFonts w:ascii="Arial" w:hAnsi="Arial"/>
        <w:color w:val="f2f2f2"/>
        <w:sz w:val="22"/>
      </w:rPr>
      <w:tcPr>
        <w:shd w:val="clear" w:color="ffffff" w:themeColor="accent1" w:themeTint="EA" w:fill="1ebe03" w:themeFill="accent1" w:themeFillTint="EA"/>
      </w:tcPr>
    </w:tblStylePr>
    <w:tblStylePr w:type="lastCol">
      <w:rPr>
        <w:rFonts w:ascii="Arial" w:hAnsi="Arial"/>
        <w:color w:val="f2f2f2"/>
        <w:sz w:val="22"/>
      </w:rPr>
      <w:tcPr>
        <w:shd w:val="clear" w:color="ffffff" w:themeColor="accent1" w:themeTint="EA" w:fill="1ebe03" w:themeFill="accent1" w:themeFillTint="EA"/>
      </w:tcPr>
    </w:tblStylePr>
    <w:tblStylePr w:type="lastRow">
      <w:rPr>
        <w:rFonts w:ascii="Arial" w:hAnsi="Arial"/>
        <w:color w:val="f2f2f2"/>
        <w:sz w:val="22"/>
      </w:rPr>
      <w:tcPr>
        <w:shd w:val="clear" w:color="ffffff" w:themeColor="accent1" w:themeTint="EA" w:fill="1ebe03" w:themeFill="accent1" w:themeFillTint="EA"/>
      </w:tcPr>
    </w:tblStylePr>
  </w:style>
  <w:style w:type="table" w:styleId="824">
    <w:name w:val="Lined - Accent 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bce7fd" w:themeFill="accent2" w:themeFillTint="32"/>
      </w:tcPr>
    </w:tblStylePr>
    <w:tblStylePr w:type="band2Vert">
      <w:rPr>
        <w:rFonts w:ascii="Arial" w:hAnsi="Arial"/>
        <w:color w:val="404040"/>
        <w:sz w:val="22"/>
      </w:rPr>
      <w:tcPr>
        <w:shd w:val="clear" w:color="ffffff" w:themeColor="accent2" w:themeTint="32" w:fill="bce7fd" w:themeFill="accent2" w:themeFillTint="32"/>
      </w:tcPr>
    </w:tblStylePr>
    <w:tblStylePr w:type="firstCol">
      <w:rPr>
        <w:rFonts w:ascii="Arial" w:hAnsi="Arial"/>
        <w:color w:val="f2f2f2"/>
        <w:sz w:val="22"/>
      </w:rPr>
      <w:tcPr>
        <w:shd w:val="clear" w:color="ffffff" w:themeColor="accent2" w:themeTint="97" w:fill="36b8fb" w:themeFill="accent2" w:themeFillTint="97"/>
      </w:tcPr>
    </w:tblStylePr>
    <w:tblStylePr w:type="firstRow">
      <w:rPr>
        <w:rFonts w:ascii="Arial" w:hAnsi="Arial"/>
        <w:color w:val="f2f2f2"/>
        <w:sz w:val="22"/>
      </w:rPr>
      <w:tcPr>
        <w:shd w:val="clear" w:color="ffffff" w:themeColor="accent2" w:themeTint="97" w:fill="36b8fb" w:themeFill="accent2" w:themeFillTint="97"/>
      </w:tcPr>
    </w:tblStylePr>
    <w:tblStylePr w:type="lastCol">
      <w:rPr>
        <w:rFonts w:ascii="Arial" w:hAnsi="Arial"/>
        <w:color w:val="f2f2f2"/>
        <w:sz w:val="22"/>
      </w:rPr>
      <w:tcPr>
        <w:shd w:val="clear" w:color="ffffff" w:themeColor="accent2" w:themeTint="97" w:fill="36b8fb" w:themeFill="accent2" w:themeFillTint="97"/>
      </w:tcPr>
    </w:tblStylePr>
    <w:tblStylePr w:type="lastRow">
      <w:rPr>
        <w:rFonts w:ascii="Arial" w:hAnsi="Arial"/>
        <w:color w:val="f2f2f2"/>
        <w:sz w:val="22"/>
      </w:rPr>
      <w:tcPr>
        <w:shd w:val="clear" w:color="ffffff" w:themeColor="accent2" w:themeTint="97" w:fill="36b8fb" w:themeFill="accent2" w:themeFillTint="97"/>
      </w:tcPr>
    </w:tblStylePr>
  </w:style>
  <w:style w:type="table" w:styleId="825">
    <w:name w:val="Lined - Accent 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fdd2ba" w:themeFill="accent3" w:themeFillTint="34"/>
      </w:tcPr>
    </w:tblStylePr>
    <w:tblStylePr w:type="band2Vert">
      <w:rPr>
        <w:rFonts w:ascii="Arial" w:hAnsi="Arial"/>
        <w:color w:val="404040"/>
        <w:sz w:val="22"/>
      </w:rPr>
      <w:tcPr>
        <w:shd w:val="clear" w:color="ffffff" w:themeColor="accent3" w:themeTint="34" w:fill="fdd2ba" w:themeFill="accent3" w:themeFillTint="34"/>
      </w:tcPr>
    </w:tblStylePr>
    <w:tblStylePr w:type="firstCol">
      <w:rPr>
        <w:rFonts w:ascii="Arial" w:hAnsi="Arial"/>
        <w:color w:val="f2f2f2"/>
        <w:sz w:val="22"/>
      </w:rPr>
      <w:tcPr>
        <w:shd w:val="clear" w:color="ffffff" w:themeColor="accent3" w:themeTint="FE" w:fill="a43c03" w:themeFill="accent3" w:themeFillTint="FE"/>
      </w:tcPr>
    </w:tblStylePr>
    <w:tblStylePr w:type="firstRow">
      <w:rPr>
        <w:rFonts w:ascii="Arial" w:hAnsi="Arial"/>
        <w:color w:val="f2f2f2"/>
        <w:sz w:val="22"/>
      </w:rPr>
      <w:tcPr>
        <w:shd w:val="clear" w:color="ffffff" w:themeColor="accent3" w:themeTint="FE" w:fill="a43c03" w:themeFill="accent3" w:themeFillTint="FE"/>
      </w:tcPr>
    </w:tblStylePr>
    <w:tblStylePr w:type="lastCol">
      <w:rPr>
        <w:rFonts w:ascii="Arial" w:hAnsi="Arial"/>
        <w:color w:val="f2f2f2"/>
        <w:sz w:val="22"/>
      </w:rPr>
      <w:tcPr>
        <w:shd w:val="clear" w:color="ffffff" w:themeColor="accent3" w:themeTint="FE" w:fill="a43c03" w:themeFill="accent3" w:themeFillTint="FE"/>
      </w:tcPr>
    </w:tblStylePr>
    <w:tblStylePr w:type="lastRow">
      <w:rPr>
        <w:rFonts w:ascii="Arial" w:hAnsi="Arial"/>
        <w:color w:val="f2f2f2"/>
        <w:sz w:val="22"/>
      </w:rPr>
      <w:tcPr>
        <w:shd w:val="clear" w:color="ffffff" w:themeColor="accent3" w:themeTint="FE" w:fill="a43c03" w:themeFill="accent3" w:themeFillTint="FE"/>
      </w:tcPr>
    </w:tblStylePr>
  </w:style>
  <w:style w:type="table" w:styleId="826">
    <w:name w:val="Lined - Accent 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3bafd" w:themeFill="accent4" w:themeFillTint="34"/>
      </w:tcPr>
    </w:tblStylePr>
    <w:tblStylePr w:type="band2Vert">
      <w:rPr>
        <w:rFonts w:ascii="Arial" w:hAnsi="Arial"/>
        <w:color w:val="404040"/>
        <w:sz w:val="22"/>
      </w:rPr>
      <w:tcPr>
        <w:shd w:val="clear" w:color="ffffff" w:themeColor="accent4" w:themeTint="34" w:fill="f3bafd" w:themeFill="accent4" w:themeFillTint="34"/>
      </w:tcPr>
    </w:tblStylePr>
    <w:tblStylePr w:type="firstCol">
      <w:rPr>
        <w:rFonts w:ascii="Arial" w:hAnsi="Arial"/>
        <w:color w:val="f2f2f2"/>
        <w:sz w:val="22"/>
      </w:rPr>
      <w:tcPr>
        <w:shd w:val="clear" w:color="ffffff" w:themeColor="accent4" w:themeTint="9A" w:fill="dc33fa" w:themeFill="accent4" w:themeFillTint="9A"/>
      </w:tcPr>
    </w:tblStylePr>
    <w:tblStylePr w:type="firstRow">
      <w:rPr>
        <w:rFonts w:ascii="Arial" w:hAnsi="Arial"/>
        <w:color w:val="f2f2f2"/>
        <w:sz w:val="22"/>
      </w:rPr>
      <w:tcPr>
        <w:shd w:val="clear" w:color="ffffff" w:themeColor="accent4" w:themeTint="9A" w:fill="dc33fa" w:themeFill="accent4" w:themeFillTint="9A"/>
      </w:tcPr>
    </w:tblStylePr>
    <w:tblStylePr w:type="lastCol">
      <w:rPr>
        <w:rFonts w:ascii="Arial" w:hAnsi="Arial"/>
        <w:color w:val="f2f2f2"/>
        <w:sz w:val="22"/>
      </w:rPr>
      <w:tcPr>
        <w:shd w:val="clear" w:color="ffffff" w:themeColor="accent4" w:themeTint="9A" w:fill="dc33fa" w:themeFill="accent4" w:themeFillTint="9A"/>
      </w:tcPr>
    </w:tblStylePr>
    <w:tblStylePr w:type="lastRow">
      <w:rPr>
        <w:rFonts w:ascii="Arial" w:hAnsi="Arial"/>
        <w:color w:val="f2f2f2"/>
        <w:sz w:val="22"/>
      </w:rPr>
      <w:tcPr>
        <w:shd w:val="clear" w:color="ffffff" w:themeColor="accent4" w:themeTint="9A" w:fill="dc33fa" w:themeFill="accent4" w:themeFillTint="9A"/>
      </w:tcPr>
    </w:tblStylePr>
  </w:style>
  <w:style w:type="table" w:styleId="827">
    <w:name w:val="Lined - Accent 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ffefbf" w:themeFill="accent5" w:themeFillTint="34"/>
      </w:tcPr>
    </w:tblStylePr>
    <w:tblStylePr w:type="band2Vert">
      <w:rPr>
        <w:rFonts w:ascii="Arial" w:hAnsi="Arial"/>
        <w:color w:val="404040"/>
        <w:sz w:val="22"/>
      </w:rPr>
      <w:tcPr>
        <w:shd w:val="clear" w:color="ffffff" w:themeColor="accent5" w:themeTint="34" w:fill="ffefbf" w:themeFill="accent5" w:themeFillTint="34"/>
      </w:tcPr>
    </w:tblStylePr>
    <w:tblStylePr w:type="firstCol">
      <w:rPr>
        <w:rFonts w:ascii="Arial" w:hAnsi="Arial"/>
        <w:color w:val="f2f2f2"/>
        <w:sz w:val="22"/>
      </w:rPr>
      <w:tcPr>
        <w:shd w:val="clear" w:color="ffffff" w:themeColor="accent5" w:fill="c99c00" w:themeFill="accent5"/>
      </w:tcPr>
    </w:tblStylePr>
    <w:tblStylePr w:type="firstRow">
      <w:rPr>
        <w:rFonts w:ascii="Arial" w:hAnsi="Arial"/>
        <w:color w:val="f2f2f2"/>
        <w:sz w:val="22"/>
      </w:rPr>
      <w:tcPr>
        <w:shd w:val="clear" w:color="ffffff" w:themeColor="accent5" w:fill="c99c00" w:themeFill="accent5"/>
      </w:tcPr>
    </w:tblStylePr>
    <w:tblStylePr w:type="lastCol">
      <w:rPr>
        <w:rFonts w:ascii="Arial" w:hAnsi="Arial"/>
        <w:color w:val="f2f2f2"/>
        <w:sz w:val="22"/>
      </w:rPr>
      <w:tcPr>
        <w:shd w:val="clear" w:color="ffffff" w:themeColor="accent5" w:fill="c99c00" w:themeFill="accent5"/>
      </w:tcPr>
    </w:tblStylePr>
    <w:tblStylePr w:type="lastRow">
      <w:rPr>
        <w:rFonts w:ascii="Arial" w:hAnsi="Arial"/>
        <w:color w:val="f2f2f2"/>
        <w:sz w:val="22"/>
      </w:rPr>
      <w:tcPr>
        <w:shd w:val="clear" w:color="ffffff" w:themeColor="accent5" w:fill="c99c00" w:themeFill="accent5"/>
      </w:tcPr>
    </w:tblStylePr>
  </w:style>
  <w:style w:type="table" w:styleId="828">
    <w:name w:val="Lined - Accent 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7cccc" w:themeFill="accent6" w:themeFillTint="34"/>
      </w:tcPr>
    </w:tblStylePr>
    <w:tblStylePr w:type="band2Vert">
      <w:rPr>
        <w:rFonts w:ascii="Arial" w:hAnsi="Arial"/>
        <w:color w:val="404040"/>
        <w:sz w:val="22"/>
      </w:rPr>
      <w:tcPr>
        <w:shd w:val="clear" w:color="ffffff" w:themeColor="accent6" w:themeTint="34" w:fill="f7cccc" w:themeFill="accent6" w:themeFillTint="34"/>
      </w:tcPr>
    </w:tblStylePr>
    <w:tblStylePr w:type="firstCol">
      <w:rPr>
        <w:rFonts w:ascii="Arial" w:hAnsi="Arial"/>
        <w:color w:val="f2f2f2"/>
        <w:sz w:val="22"/>
      </w:rPr>
      <w:tcPr>
        <w:shd w:val="clear" w:color="ffffff" w:themeColor="accent6" w:fill="c9211e" w:themeFill="accent6"/>
      </w:tcPr>
    </w:tblStylePr>
    <w:tblStylePr w:type="firstRow">
      <w:rPr>
        <w:rFonts w:ascii="Arial" w:hAnsi="Arial"/>
        <w:color w:val="f2f2f2"/>
        <w:sz w:val="22"/>
      </w:rPr>
      <w:tcPr>
        <w:shd w:val="clear" w:color="ffffff" w:themeColor="accent6" w:fill="c9211e" w:themeFill="accent6"/>
      </w:tcPr>
    </w:tblStylePr>
    <w:tblStylePr w:type="lastCol">
      <w:rPr>
        <w:rFonts w:ascii="Arial" w:hAnsi="Arial"/>
        <w:color w:val="f2f2f2"/>
        <w:sz w:val="22"/>
      </w:rPr>
      <w:tcPr>
        <w:shd w:val="clear" w:color="ffffff" w:themeColor="accent6" w:fill="c9211e" w:themeFill="accent6"/>
      </w:tcPr>
    </w:tblStylePr>
    <w:tblStylePr w:type="lastRow">
      <w:rPr>
        <w:rFonts w:ascii="Arial" w:hAnsi="Arial"/>
        <w:color w:val="f2f2f2"/>
        <w:sz w:val="22"/>
      </w:rPr>
      <w:tcPr>
        <w:shd w:val="clear" w:color="ffffff" w:themeColor="accent6" w:fill="c9211e" w:themeFill="accent6"/>
      </w:tcPr>
    </w:tblStylePr>
  </w:style>
  <w:style w:type="table" w:styleId="829">
    <w:name w:val="Bordered &amp; Lined - Accent"/>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30">
    <w:name w:val="Bordered &amp; Lined - Accent 1"/>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a3fc95" w:themeFill="accent1" w:themeFillTint="50"/>
      </w:tcPr>
    </w:tblStylePr>
    <w:tblStylePr w:type="band2Vert">
      <w:rPr>
        <w:rFonts w:ascii="Arial" w:hAnsi="Arial"/>
        <w:color w:val="404040"/>
        <w:sz w:val="22"/>
      </w:rPr>
      <w:tcPr>
        <w:shd w:val="clear" w:color="ffffff" w:themeColor="accent1" w:themeTint="50" w:fill="a3fc95" w:themeFill="accent1" w:themeFillTint="50"/>
      </w:tcPr>
    </w:tblStylePr>
    <w:tblStylePr w:type="firstCol">
      <w:rPr>
        <w:rFonts w:ascii="Arial" w:hAnsi="Arial"/>
        <w:color w:val="f2f2f2"/>
        <w:sz w:val="22"/>
      </w:rPr>
      <w:tcPr>
        <w:shd w:val="clear" w:color="ffffff" w:themeColor="accent1" w:themeTint="EA" w:fill="1ebe03" w:themeFill="accent1" w:themeFillTint="EA"/>
      </w:tcPr>
    </w:tblStylePr>
    <w:tblStylePr w:type="firstRow">
      <w:rPr>
        <w:rFonts w:ascii="Arial" w:hAnsi="Arial"/>
        <w:color w:val="f2f2f2"/>
        <w:sz w:val="22"/>
      </w:rPr>
      <w:tcPr>
        <w:shd w:val="clear" w:color="ffffff" w:themeColor="accent1" w:themeTint="EA" w:fill="1ebe03" w:themeFill="accent1" w:themeFillTint="EA"/>
      </w:tcPr>
    </w:tblStylePr>
    <w:tblStylePr w:type="lastCol">
      <w:rPr>
        <w:rFonts w:ascii="Arial" w:hAnsi="Arial"/>
        <w:color w:val="f2f2f2"/>
        <w:sz w:val="22"/>
      </w:rPr>
      <w:tcPr>
        <w:shd w:val="clear" w:color="ffffff" w:themeColor="accent1" w:themeTint="EA" w:fill="1ebe03" w:themeFill="accent1" w:themeFillTint="EA"/>
      </w:tcPr>
    </w:tblStylePr>
    <w:tblStylePr w:type="lastRow">
      <w:rPr>
        <w:rFonts w:ascii="Arial" w:hAnsi="Arial"/>
        <w:color w:val="f2f2f2"/>
        <w:sz w:val="22"/>
      </w:rPr>
      <w:tcPr>
        <w:shd w:val="clear" w:color="ffffff" w:themeColor="accent1" w:themeTint="EA" w:fill="1ebe03" w:themeFill="accent1" w:themeFillTint="EA"/>
      </w:tcPr>
    </w:tblStylePr>
  </w:style>
  <w:style w:type="table" w:styleId="831">
    <w:name w:val="Bordered &amp; Lined - Accent 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bce7fd" w:themeFill="accent2" w:themeFillTint="32"/>
      </w:tcPr>
    </w:tblStylePr>
    <w:tblStylePr w:type="band2Vert">
      <w:rPr>
        <w:rFonts w:ascii="Arial" w:hAnsi="Arial"/>
        <w:color w:val="404040"/>
        <w:sz w:val="22"/>
      </w:rPr>
      <w:tcPr>
        <w:shd w:val="clear" w:color="ffffff" w:themeColor="accent2" w:themeTint="32" w:fill="bce7fd" w:themeFill="accent2" w:themeFillTint="32"/>
      </w:tcPr>
    </w:tblStylePr>
    <w:tblStylePr w:type="firstCol">
      <w:rPr>
        <w:rFonts w:ascii="Arial" w:hAnsi="Arial"/>
        <w:color w:val="f2f2f2"/>
        <w:sz w:val="22"/>
      </w:rPr>
      <w:tcPr>
        <w:shd w:val="clear" w:color="ffffff" w:themeColor="accent2" w:themeTint="97" w:fill="36b8fb" w:themeFill="accent2" w:themeFillTint="97"/>
      </w:tcPr>
    </w:tblStylePr>
    <w:tblStylePr w:type="firstRow">
      <w:rPr>
        <w:rFonts w:ascii="Arial" w:hAnsi="Arial"/>
        <w:color w:val="f2f2f2"/>
        <w:sz w:val="22"/>
      </w:rPr>
      <w:tcPr>
        <w:shd w:val="clear" w:color="ffffff" w:themeColor="accent2" w:themeTint="97" w:fill="36b8fb" w:themeFill="accent2" w:themeFillTint="97"/>
      </w:tcPr>
    </w:tblStylePr>
    <w:tblStylePr w:type="lastCol">
      <w:rPr>
        <w:rFonts w:ascii="Arial" w:hAnsi="Arial"/>
        <w:color w:val="f2f2f2"/>
        <w:sz w:val="22"/>
      </w:rPr>
      <w:tcPr>
        <w:shd w:val="clear" w:color="ffffff" w:themeColor="accent2" w:themeTint="97" w:fill="36b8fb" w:themeFill="accent2" w:themeFillTint="97"/>
      </w:tcPr>
    </w:tblStylePr>
    <w:tblStylePr w:type="lastRow">
      <w:rPr>
        <w:rFonts w:ascii="Arial" w:hAnsi="Arial"/>
        <w:color w:val="f2f2f2"/>
        <w:sz w:val="22"/>
      </w:rPr>
      <w:tcPr>
        <w:shd w:val="clear" w:color="ffffff" w:themeColor="accent2" w:themeTint="97" w:fill="36b8fb" w:themeFill="accent2" w:themeFillTint="97"/>
      </w:tcPr>
    </w:tblStylePr>
  </w:style>
  <w:style w:type="table" w:styleId="832">
    <w:name w:val="Bordered &amp; Lined - Accent 3"/>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fdd2ba" w:themeFill="accent3" w:themeFillTint="34"/>
      </w:tcPr>
    </w:tblStylePr>
    <w:tblStylePr w:type="band2Vert">
      <w:rPr>
        <w:rFonts w:ascii="Arial" w:hAnsi="Arial"/>
        <w:color w:val="404040"/>
        <w:sz w:val="22"/>
      </w:rPr>
      <w:tcPr>
        <w:shd w:val="clear" w:color="ffffff" w:themeColor="accent3" w:themeTint="34" w:fill="fdd2ba" w:themeFill="accent3" w:themeFillTint="34"/>
      </w:tcPr>
    </w:tblStylePr>
    <w:tblStylePr w:type="firstCol">
      <w:rPr>
        <w:rFonts w:ascii="Arial" w:hAnsi="Arial"/>
        <w:color w:val="f2f2f2"/>
        <w:sz w:val="22"/>
      </w:rPr>
      <w:tcPr>
        <w:shd w:val="clear" w:color="ffffff" w:themeColor="accent3" w:themeTint="FE" w:fill="a43c03" w:themeFill="accent3" w:themeFillTint="FE"/>
      </w:tcPr>
    </w:tblStylePr>
    <w:tblStylePr w:type="firstRow">
      <w:rPr>
        <w:rFonts w:ascii="Arial" w:hAnsi="Arial"/>
        <w:color w:val="f2f2f2"/>
        <w:sz w:val="22"/>
      </w:rPr>
      <w:tcPr>
        <w:shd w:val="clear" w:color="ffffff" w:themeColor="accent3" w:themeTint="FE" w:fill="a43c03" w:themeFill="accent3" w:themeFillTint="FE"/>
      </w:tcPr>
    </w:tblStylePr>
    <w:tblStylePr w:type="lastCol">
      <w:rPr>
        <w:rFonts w:ascii="Arial" w:hAnsi="Arial"/>
        <w:color w:val="f2f2f2"/>
        <w:sz w:val="22"/>
      </w:rPr>
      <w:tcPr>
        <w:shd w:val="clear" w:color="ffffff" w:themeColor="accent3" w:themeTint="FE" w:fill="a43c03" w:themeFill="accent3" w:themeFillTint="FE"/>
      </w:tcPr>
    </w:tblStylePr>
    <w:tblStylePr w:type="lastRow">
      <w:rPr>
        <w:rFonts w:ascii="Arial" w:hAnsi="Arial"/>
        <w:color w:val="f2f2f2"/>
        <w:sz w:val="22"/>
      </w:rPr>
      <w:tcPr>
        <w:shd w:val="clear" w:color="ffffff" w:themeColor="accent3" w:themeTint="FE" w:fill="a43c03" w:themeFill="accent3" w:themeFillTint="FE"/>
      </w:tcPr>
    </w:tblStylePr>
  </w:style>
  <w:style w:type="table" w:styleId="833">
    <w:name w:val="Bordered &amp; Lined - Accent 4"/>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3bafd" w:themeFill="accent4" w:themeFillTint="34"/>
      </w:tcPr>
    </w:tblStylePr>
    <w:tblStylePr w:type="band2Vert">
      <w:rPr>
        <w:rFonts w:ascii="Arial" w:hAnsi="Arial"/>
        <w:color w:val="404040"/>
        <w:sz w:val="22"/>
      </w:rPr>
      <w:tcPr>
        <w:shd w:val="clear" w:color="ffffff" w:themeColor="accent4" w:themeTint="34" w:fill="f3bafd" w:themeFill="accent4" w:themeFillTint="34"/>
      </w:tcPr>
    </w:tblStylePr>
    <w:tblStylePr w:type="firstCol">
      <w:rPr>
        <w:rFonts w:ascii="Arial" w:hAnsi="Arial"/>
        <w:color w:val="f2f2f2"/>
        <w:sz w:val="22"/>
      </w:rPr>
      <w:tcPr>
        <w:shd w:val="clear" w:color="ffffff" w:themeColor="accent4" w:themeTint="9A" w:fill="dc33fa" w:themeFill="accent4" w:themeFillTint="9A"/>
      </w:tcPr>
    </w:tblStylePr>
    <w:tblStylePr w:type="firstRow">
      <w:rPr>
        <w:rFonts w:ascii="Arial" w:hAnsi="Arial"/>
        <w:color w:val="f2f2f2"/>
        <w:sz w:val="22"/>
      </w:rPr>
      <w:tcPr>
        <w:shd w:val="clear" w:color="ffffff" w:themeColor="accent4" w:themeTint="9A" w:fill="dc33fa" w:themeFill="accent4" w:themeFillTint="9A"/>
      </w:tcPr>
    </w:tblStylePr>
    <w:tblStylePr w:type="lastCol">
      <w:rPr>
        <w:rFonts w:ascii="Arial" w:hAnsi="Arial"/>
        <w:color w:val="f2f2f2"/>
        <w:sz w:val="22"/>
      </w:rPr>
      <w:tcPr>
        <w:shd w:val="clear" w:color="ffffff" w:themeColor="accent4" w:themeTint="9A" w:fill="dc33fa" w:themeFill="accent4" w:themeFillTint="9A"/>
      </w:tcPr>
    </w:tblStylePr>
    <w:tblStylePr w:type="lastRow">
      <w:rPr>
        <w:rFonts w:ascii="Arial" w:hAnsi="Arial"/>
        <w:color w:val="f2f2f2"/>
        <w:sz w:val="22"/>
      </w:rPr>
      <w:tcPr>
        <w:shd w:val="clear" w:color="ffffff" w:themeColor="accent4" w:themeTint="9A" w:fill="dc33fa" w:themeFill="accent4" w:themeFillTint="9A"/>
      </w:tcPr>
    </w:tblStylePr>
  </w:style>
  <w:style w:type="table" w:styleId="834">
    <w:name w:val="Bordered &amp; Lined - Accent 5"/>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ffefbf" w:themeFill="accent5" w:themeFillTint="34"/>
      </w:tcPr>
    </w:tblStylePr>
    <w:tblStylePr w:type="band2Vert">
      <w:rPr>
        <w:rFonts w:ascii="Arial" w:hAnsi="Arial"/>
        <w:color w:val="404040"/>
        <w:sz w:val="22"/>
      </w:rPr>
      <w:tcPr>
        <w:shd w:val="clear" w:color="ffffff" w:themeColor="accent5" w:themeTint="34" w:fill="ffefbf" w:themeFill="accent5" w:themeFillTint="34"/>
      </w:tcPr>
    </w:tblStylePr>
    <w:tblStylePr w:type="firstCol">
      <w:rPr>
        <w:rFonts w:ascii="Arial" w:hAnsi="Arial"/>
        <w:color w:val="f2f2f2"/>
        <w:sz w:val="22"/>
      </w:rPr>
      <w:tcPr>
        <w:shd w:val="clear" w:color="ffffff" w:themeColor="accent5" w:fill="c99c00" w:themeFill="accent5"/>
      </w:tcPr>
    </w:tblStylePr>
    <w:tblStylePr w:type="firstRow">
      <w:rPr>
        <w:rFonts w:ascii="Arial" w:hAnsi="Arial"/>
        <w:color w:val="f2f2f2"/>
        <w:sz w:val="22"/>
      </w:rPr>
      <w:tcPr>
        <w:shd w:val="clear" w:color="ffffff" w:themeColor="accent5" w:fill="c99c00" w:themeFill="accent5"/>
      </w:tcPr>
    </w:tblStylePr>
    <w:tblStylePr w:type="lastCol">
      <w:rPr>
        <w:rFonts w:ascii="Arial" w:hAnsi="Arial"/>
        <w:color w:val="f2f2f2"/>
        <w:sz w:val="22"/>
      </w:rPr>
      <w:tcPr>
        <w:shd w:val="clear" w:color="ffffff" w:themeColor="accent5" w:fill="c99c00" w:themeFill="accent5"/>
      </w:tcPr>
    </w:tblStylePr>
    <w:tblStylePr w:type="lastRow">
      <w:rPr>
        <w:rFonts w:ascii="Arial" w:hAnsi="Arial"/>
        <w:color w:val="f2f2f2"/>
        <w:sz w:val="22"/>
      </w:rPr>
      <w:tcPr>
        <w:shd w:val="clear" w:color="ffffff" w:themeColor="accent5" w:fill="c99c00" w:themeFill="accent5"/>
      </w:tcPr>
    </w:tblStylePr>
  </w:style>
  <w:style w:type="table" w:styleId="835">
    <w:name w:val="Bordered &amp; Lined - Accent 6"/>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7cccc" w:themeFill="accent6" w:themeFillTint="34"/>
      </w:tcPr>
    </w:tblStylePr>
    <w:tblStylePr w:type="band2Vert">
      <w:rPr>
        <w:rFonts w:ascii="Arial" w:hAnsi="Arial"/>
        <w:color w:val="404040"/>
        <w:sz w:val="22"/>
      </w:rPr>
      <w:tcPr>
        <w:shd w:val="clear" w:color="ffffff" w:themeColor="accent6" w:themeTint="34" w:fill="f7cccc" w:themeFill="accent6" w:themeFillTint="34"/>
      </w:tcPr>
    </w:tblStylePr>
    <w:tblStylePr w:type="firstCol">
      <w:rPr>
        <w:rFonts w:ascii="Arial" w:hAnsi="Arial"/>
        <w:color w:val="f2f2f2"/>
        <w:sz w:val="22"/>
      </w:rPr>
      <w:tcPr>
        <w:shd w:val="clear" w:color="ffffff" w:themeColor="accent6" w:fill="c9211e" w:themeFill="accent6"/>
      </w:tcPr>
    </w:tblStylePr>
    <w:tblStylePr w:type="firstRow">
      <w:rPr>
        <w:rFonts w:ascii="Arial" w:hAnsi="Arial"/>
        <w:color w:val="f2f2f2"/>
        <w:sz w:val="22"/>
      </w:rPr>
      <w:tcPr>
        <w:shd w:val="clear" w:color="ffffff" w:themeColor="accent6" w:fill="c9211e" w:themeFill="accent6"/>
      </w:tcPr>
    </w:tblStylePr>
    <w:tblStylePr w:type="lastCol">
      <w:rPr>
        <w:rFonts w:ascii="Arial" w:hAnsi="Arial"/>
        <w:color w:val="f2f2f2"/>
        <w:sz w:val="22"/>
      </w:rPr>
      <w:tcPr>
        <w:shd w:val="clear" w:color="ffffff" w:themeColor="accent6" w:fill="c9211e" w:themeFill="accent6"/>
      </w:tcPr>
    </w:tblStylePr>
    <w:tblStylePr w:type="lastRow">
      <w:rPr>
        <w:rFonts w:ascii="Arial" w:hAnsi="Arial"/>
        <w:color w:val="f2f2f2"/>
        <w:sz w:val="22"/>
      </w:rPr>
      <w:tcPr>
        <w:shd w:val="clear" w:color="ffffff" w:themeColor="accent6" w:fill="c9211e" w:themeFill="accent6"/>
      </w:tcPr>
    </w:tblStylePr>
  </w:style>
  <w:style w:type="table" w:styleId="836">
    <w:name w:val="Bordered"/>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37">
    <w:name w:val="Bordered - Accent 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38">
    <w:name w:val="Bordered - Accent 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39">
    <w:name w:val="Bordered - Accent 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40">
    <w:name w:val="Bordered - Accent 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41">
    <w:name w:val="Bordered - Accent 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42">
    <w:name w:val="Bordered - Accent 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843">
    <w:name w:val="Footnote Text Char"/>
    <w:link w:val="920"/>
    <w:uiPriority w:val="99"/>
    <w:rPr>
      <w:sz w:val="18"/>
    </w:rPr>
  </w:style>
  <w:style w:type="character" w:styleId="844">
    <w:name w:val="footnote reference"/>
    <w:uiPriority w:val="99"/>
    <w:unhideWhenUsed/>
    <w:rPr>
      <w:vertAlign w:val="superscript"/>
    </w:rPr>
  </w:style>
  <w:style w:type="paragraph" w:styleId="845">
    <w:name w:val="endnote text"/>
    <w:basedOn w:val="859"/>
    <w:link w:val="846"/>
    <w:uiPriority w:val="99"/>
    <w:semiHidden/>
    <w:unhideWhenUsed/>
    <w:pPr>
      <w:spacing w:after="0" w:line="240" w:lineRule="auto"/>
    </w:pPr>
    <w:rPr>
      <w:sz w:val="20"/>
    </w:rPr>
  </w:style>
  <w:style w:type="character" w:styleId="846">
    <w:name w:val="Endnote Text Char"/>
    <w:link w:val="845"/>
    <w:uiPriority w:val="99"/>
    <w:rPr>
      <w:sz w:val="20"/>
    </w:rPr>
  </w:style>
  <w:style w:type="character" w:styleId="847">
    <w:name w:val="endnote reference"/>
    <w:uiPriority w:val="99"/>
    <w:semiHidden/>
    <w:unhideWhenUsed/>
    <w:rPr>
      <w:vertAlign w:val="superscript"/>
    </w:rPr>
  </w:style>
  <w:style w:type="paragraph" w:styleId="848">
    <w:name w:val="toc 1"/>
    <w:basedOn w:val="859"/>
    <w:next w:val="859"/>
    <w:uiPriority w:val="39"/>
    <w:unhideWhenUsed/>
    <w:pPr>
      <w:ind w:left="0" w:right="0" w:firstLine="0"/>
      <w:spacing w:after="57"/>
    </w:pPr>
  </w:style>
  <w:style w:type="paragraph" w:styleId="849">
    <w:name w:val="toc 2"/>
    <w:basedOn w:val="859"/>
    <w:next w:val="859"/>
    <w:uiPriority w:val="39"/>
    <w:unhideWhenUsed/>
    <w:pPr>
      <w:ind w:left="283" w:right="0" w:firstLine="0"/>
      <w:spacing w:after="57"/>
    </w:pPr>
  </w:style>
  <w:style w:type="paragraph" w:styleId="850">
    <w:name w:val="toc 3"/>
    <w:basedOn w:val="859"/>
    <w:next w:val="859"/>
    <w:uiPriority w:val="39"/>
    <w:unhideWhenUsed/>
    <w:pPr>
      <w:ind w:left="567" w:right="0" w:firstLine="0"/>
      <w:spacing w:after="57"/>
    </w:pPr>
  </w:style>
  <w:style w:type="paragraph" w:styleId="851">
    <w:name w:val="toc 4"/>
    <w:basedOn w:val="859"/>
    <w:next w:val="859"/>
    <w:uiPriority w:val="39"/>
    <w:unhideWhenUsed/>
    <w:pPr>
      <w:ind w:left="850" w:right="0" w:firstLine="0"/>
      <w:spacing w:after="57"/>
    </w:pPr>
  </w:style>
  <w:style w:type="paragraph" w:styleId="852">
    <w:name w:val="toc 5"/>
    <w:basedOn w:val="859"/>
    <w:next w:val="859"/>
    <w:uiPriority w:val="39"/>
    <w:unhideWhenUsed/>
    <w:pPr>
      <w:ind w:left="1134" w:right="0" w:firstLine="0"/>
      <w:spacing w:after="57"/>
    </w:pPr>
  </w:style>
  <w:style w:type="paragraph" w:styleId="853">
    <w:name w:val="toc 6"/>
    <w:basedOn w:val="859"/>
    <w:next w:val="859"/>
    <w:uiPriority w:val="39"/>
    <w:unhideWhenUsed/>
    <w:pPr>
      <w:ind w:left="1417" w:right="0" w:firstLine="0"/>
      <w:spacing w:after="57"/>
    </w:pPr>
  </w:style>
  <w:style w:type="paragraph" w:styleId="854">
    <w:name w:val="toc 7"/>
    <w:basedOn w:val="859"/>
    <w:next w:val="859"/>
    <w:uiPriority w:val="39"/>
    <w:unhideWhenUsed/>
    <w:pPr>
      <w:ind w:left="1701" w:right="0" w:firstLine="0"/>
      <w:spacing w:after="57"/>
    </w:pPr>
  </w:style>
  <w:style w:type="paragraph" w:styleId="855">
    <w:name w:val="toc 8"/>
    <w:basedOn w:val="859"/>
    <w:next w:val="859"/>
    <w:uiPriority w:val="39"/>
    <w:unhideWhenUsed/>
    <w:pPr>
      <w:ind w:left="1984" w:right="0" w:firstLine="0"/>
      <w:spacing w:after="57"/>
    </w:pPr>
  </w:style>
  <w:style w:type="paragraph" w:styleId="856">
    <w:name w:val="toc 9"/>
    <w:basedOn w:val="859"/>
    <w:next w:val="859"/>
    <w:uiPriority w:val="39"/>
    <w:unhideWhenUsed/>
    <w:pPr>
      <w:ind w:left="2268" w:right="0" w:firstLine="0"/>
      <w:spacing w:after="57"/>
    </w:pPr>
  </w:style>
  <w:style w:type="paragraph" w:styleId="857">
    <w:name w:val="TOC Heading"/>
    <w:uiPriority w:val="39"/>
    <w:unhideWhenUsed/>
  </w:style>
  <w:style w:type="paragraph" w:styleId="858">
    <w:name w:val="table of figures"/>
    <w:basedOn w:val="859"/>
    <w:next w:val="859"/>
    <w:uiPriority w:val="99"/>
    <w:unhideWhenUsed/>
    <w:pPr>
      <w:spacing w:after="0" w:afterAutospacing="0"/>
    </w:pPr>
  </w:style>
  <w:style w:type="paragraph" w:styleId="859" w:default="1">
    <w:name w:val="Normal"/>
    <w:qFormat/>
    <w:pPr>
      <w:jc w:val="left"/>
      <w:spacing w:before="0" w:after="160" w:line="252" w:lineRule="auto"/>
      <w:widowControl/>
    </w:pPr>
    <w:rPr>
      <w:rFonts w:ascii="Calibri" w:hAnsi="Calibri" w:eastAsia="Times New Roman" w:cs="Calibri"/>
      <w:color w:val="auto"/>
      <w:sz w:val="22"/>
      <w:szCs w:val="22"/>
      <w:lang w:val="ru-RU" w:eastAsia="zh-CN" w:bidi="ar-SA"/>
    </w:rPr>
  </w:style>
  <w:style w:type="paragraph" w:styleId="860">
    <w:name w:val="Heading 1"/>
    <w:basedOn w:val="888"/>
    <w:next w:val="884"/>
    <w:qFormat/>
    <w:pPr>
      <w:numPr>
        <w:ilvl w:val="0"/>
        <w:numId w:val="1"/>
      </w:numPr>
      <w:spacing w:before="240" w:after="120"/>
      <w:outlineLvl w:val="0"/>
    </w:pPr>
    <w:rPr>
      <w:b/>
      <w:bCs/>
      <w:sz w:val="36"/>
      <w:szCs w:val="36"/>
    </w:rPr>
  </w:style>
  <w:style w:type="paragraph" w:styleId="861">
    <w:name w:val="Heading 3"/>
    <w:basedOn w:val="888"/>
    <w:next w:val="884"/>
    <w:qFormat/>
    <w:pPr>
      <w:numPr>
        <w:ilvl w:val="2"/>
        <w:numId w:val="1"/>
      </w:numPr>
      <w:spacing w:before="140" w:after="120"/>
      <w:outlineLvl w:val="2"/>
    </w:pPr>
    <w:rPr>
      <w:b/>
      <w:bCs/>
      <w:sz w:val="28"/>
      <w:szCs w:val="28"/>
    </w:rPr>
  </w:style>
  <w:style w:type="character" w:styleId="862">
    <w:name w:val="WW8Num2z1"/>
    <w:qFormat/>
    <w:rPr>
      <w:rFonts w:ascii="Courier New" w:hAnsi="Courier New" w:cs="Courier New"/>
      <w:sz w:val="20"/>
    </w:rPr>
  </w:style>
  <w:style w:type="character" w:styleId="863">
    <w:name w:val="WW8Num3z0"/>
    <w:qFormat/>
    <w:rPr>
      <w:rFonts w:ascii="Times New Roman" w:hAnsi="Times New Roman" w:cs="Times New Roman"/>
      <w:sz w:val="28"/>
      <w:szCs w:val="28"/>
    </w:rPr>
  </w:style>
  <w:style w:type="character" w:styleId="864">
    <w:name w:val="WW8Num4z0"/>
    <w:qFormat/>
    <w:rPr>
      <w:rFonts w:ascii="Symbol" w:hAnsi="Symbol" w:cs="Symbol"/>
    </w:rPr>
  </w:style>
  <w:style w:type="character" w:styleId="865">
    <w:name w:val="WW8Num4z1"/>
    <w:qFormat/>
    <w:rPr>
      <w:rFonts w:ascii="Courier New" w:hAnsi="Courier New" w:cs="Courier New"/>
    </w:rPr>
  </w:style>
  <w:style w:type="character" w:styleId="866">
    <w:name w:val="WW8Num4z2"/>
    <w:qFormat/>
    <w:rPr>
      <w:rFonts w:ascii="Wingdings" w:hAnsi="Wingdings" w:cs="Wingdings"/>
    </w:rPr>
  </w:style>
  <w:style w:type="character" w:styleId="867">
    <w:name w:val="WW8Num5z1"/>
    <w:qFormat/>
    <w:rPr>
      <w:rFonts w:ascii="Courier New" w:hAnsi="Courier New" w:cs="Courier New"/>
      <w:sz w:val="20"/>
    </w:rPr>
  </w:style>
  <w:style w:type="character" w:styleId="868">
    <w:name w:val="Основной шрифт абзаца"/>
    <w:qFormat/>
  </w:style>
  <w:style w:type="character" w:styleId="869">
    <w:name w:val="Основной шрифт абзаца5"/>
    <w:qFormat/>
  </w:style>
  <w:style w:type="character" w:styleId="870">
    <w:name w:val="Основной шрифт абзаца4"/>
    <w:qFormat/>
  </w:style>
  <w:style w:type="character" w:styleId="871">
    <w:name w:val="Основной шрифт абзаца3"/>
    <w:qFormat/>
  </w:style>
  <w:style w:type="character" w:styleId="872">
    <w:name w:val="Основной шрифт абзаца2"/>
    <w:qFormat/>
  </w:style>
  <w:style w:type="character" w:styleId="873">
    <w:name w:val="Основной шрифт абзаца1"/>
    <w:qFormat/>
  </w:style>
  <w:style w:type="character" w:styleId="874">
    <w:name w:val="Hyperlink"/>
    <w:rPr>
      <w:color w:val="000080"/>
      <w:u w:val="single"/>
    </w:rPr>
  </w:style>
  <w:style w:type="character" w:styleId="875">
    <w:name w:val="Текст сноски Знак"/>
    <w:qFormat/>
    <w:rPr>
      <w:rFonts w:ascii="Calibri" w:hAnsi="Calibri" w:eastAsia="Calibri" w:cs="Times New Roman"/>
    </w:rPr>
  </w:style>
  <w:style w:type="character" w:styleId="876">
    <w:name w:val="Символ сноски"/>
    <w:qFormat/>
    <w:rPr>
      <w:vertAlign w:val="superscript"/>
    </w:rPr>
  </w:style>
  <w:style w:type="character" w:styleId="877">
    <w:name w:val="Strong"/>
    <w:qFormat/>
    <w:rPr>
      <w:b/>
      <w:bCs/>
    </w:rPr>
  </w:style>
  <w:style w:type="character" w:styleId="878">
    <w:name w:val="Верхний колонтитул Знак"/>
    <w:qFormat/>
    <w:rPr>
      <w:rFonts w:ascii="Calibri" w:hAnsi="Calibri" w:cs="Calibri"/>
      <w:sz w:val="22"/>
      <w:szCs w:val="22"/>
      <w:lang w:eastAsia="zh-CN"/>
    </w:rPr>
  </w:style>
  <w:style w:type="character" w:styleId="879">
    <w:name w:val="Символ нумерации"/>
    <w:qFormat/>
  </w:style>
  <w:style w:type="character" w:styleId="880">
    <w:name w:val="sc-ehmyha"/>
    <w:qFormat/>
  </w:style>
  <w:style w:type="character" w:styleId="881">
    <w:name w:val="Numbering Symbols"/>
    <w:qFormat/>
  </w:style>
  <w:style w:type="character" w:styleId="882">
    <w:name w:val="Bullets"/>
    <w:qFormat/>
    <w:rPr>
      <w:rFonts w:ascii="OpenSymbol" w:hAnsi="OpenSymbol" w:eastAsia="OpenSymbol" w:cs="OpenSymbol"/>
    </w:rPr>
  </w:style>
  <w:style w:type="paragraph" w:styleId="883">
    <w:name w:val="Heading"/>
    <w:basedOn w:val="859"/>
    <w:next w:val="884"/>
    <w:qFormat/>
    <w:pPr>
      <w:keepNext/>
      <w:spacing w:before="240" w:after="120"/>
    </w:pPr>
    <w:rPr>
      <w:rFonts w:ascii="Liberation Sans;Arial" w:hAnsi="Liberation Sans;Arial" w:eastAsia="DejaVu Sans" w:cs="FreeSans"/>
      <w:sz w:val="28"/>
      <w:szCs w:val="28"/>
    </w:rPr>
  </w:style>
  <w:style w:type="paragraph" w:styleId="884">
    <w:name w:val="Body Text"/>
    <w:basedOn w:val="859"/>
    <w:pPr>
      <w:spacing w:before="0" w:after="140" w:line="276" w:lineRule="auto"/>
    </w:pPr>
  </w:style>
  <w:style w:type="paragraph" w:styleId="885">
    <w:name w:val="List"/>
    <w:basedOn w:val="884"/>
    <w:rPr>
      <w:rFonts w:cs="Lohit Devanagari;Times New Roman"/>
    </w:rPr>
  </w:style>
  <w:style w:type="paragraph" w:styleId="886">
    <w:name w:val="Caption"/>
    <w:basedOn w:val="859"/>
    <w:link w:val="716"/>
    <w:qFormat/>
    <w:pPr>
      <w:spacing w:before="120" w:after="120"/>
      <w:suppressLineNumbers/>
    </w:pPr>
    <w:rPr>
      <w:rFonts w:ascii="Times New Roman" w:hAnsi="Times New Roman" w:cs="FreeSans"/>
      <w:i/>
      <w:iCs/>
      <w:sz w:val="24"/>
      <w:szCs w:val="24"/>
    </w:rPr>
  </w:style>
  <w:style w:type="paragraph" w:styleId="887">
    <w:name w:val="Index"/>
    <w:basedOn w:val="859"/>
    <w:qFormat/>
    <w:pPr>
      <w:suppressLineNumbers/>
    </w:pPr>
    <w:rPr>
      <w:rFonts w:ascii="Times New Roman" w:hAnsi="Times New Roman" w:cs="FreeSans"/>
    </w:rPr>
  </w:style>
  <w:style w:type="paragraph" w:styleId="888">
    <w:name w:val="Заголовок1"/>
    <w:basedOn w:val="859"/>
    <w:next w:val="884"/>
    <w:qFormat/>
    <w:pPr>
      <w:keepNext/>
      <w:spacing w:before="240" w:after="120"/>
    </w:pPr>
    <w:rPr>
      <w:rFonts w:ascii="Open Sans;Arial" w:hAnsi="Open Sans;Arial" w:eastAsia="Tahoma" w:cs="Lohit Devanagari;Times New Roman"/>
      <w:sz w:val="28"/>
      <w:szCs w:val="28"/>
    </w:rPr>
  </w:style>
  <w:style w:type="paragraph" w:styleId="889">
    <w:name w:val="Название объекта"/>
    <w:basedOn w:val="859"/>
    <w:qFormat/>
    <w:pPr>
      <w:spacing w:before="120" w:after="120"/>
      <w:suppressLineNumbers/>
    </w:pPr>
    <w:rPr>
      <w:rFonts w:cs="Lohit Devanagari;Times New Roman"/>
      <w:i/>
      <w:iCs/>
      <w:sz w:val="24"/>
      <w:szCs w:val="24"/>
    </w:rPr>
  </w:style>
  <w:style w:type="paragraph" w:styleId="890">
    <w:name w:val="Указатель5"/>
    <w:basedOn w:val="859"/>
    <w:qFormat/>
    <w:pPr>
      <w:suppressLineNumbers/>
    </w:pPr>
    <w:rPr>
      <w:rFonts w:cs="Lohit Devanagari;Times New Roman"/>
    </w:rPr>
  </w:style>
  <w:style w:type="paragraph" w:styleId="891">
    <w:name w:val="Название объекта4"/>
    <w:basedOn w:val="859"/>
    <w:qFormat/>
    <w:pPr>
      <w:spacing w:before="120" w:after="120"/>
      <w:suppressLineNumbers/>
    </w:pPr>
    <w:rPr>
      <w:rFonts w:cs="Lohit Devanagari;Times New Roman"/>
      <w:i/>
      <w:iCs/>
      <w:sz w:val="24"/>
      <w:szCs w:val="24"/>
    </w:rPr>
  </w:style>
  <w:style w:type="paragraph" w:styleId="892">
    <w:name w:val="Указатель4"/>
    <w:basedOn w:val="859"/>
    <w:qFormat/>
    <w:pPr>
      <w:suppressLineNumbers/>
    </w:pPr>
    <w:rPr>
      <w:rFonts w:cs="Lohit Devanagari;Times New Roman"/>
    </w:rPr>
  </w:style>
  <w:style w:type="paragraph" w:styleId="893">
    <w:name w:val="Caption1"/>
    <w:basedOn w:val="859"/>
    <w:qFormat/>
    <w:pPr>
      <w:spacing w:before="120" w:after="120"/>
      <w:suppressLineNumbers/>
    </w:pPr>
    <w:rPr>
      <w:rFonts w:cs="Lohit Devanagari;Times New Roman"/>
      <w:i/>
      <w:iCs/>
      <w:sz w:val="24"/>
      <w:szCs w:val="24"/>
    </w:rPr>
  </w:style>
  <w:style w:type="paragraph" w:styleId="894">
    <w:name w:val="Caption11"/>
    <w:basedOn w:val="859"/>
    <w:qFormat/>
    <w:pPr>
      <w:spacing w:before="120" w:after="120"/>
      <w:suppressLineNumbers/>
    </w:pPr>
    <w:rPr>
      <w:rFonts w:cs="Lohit Devanagari;Times New Roman"/>
      <w:i/>
      <w:iCs/>
      <w:sz w:val="24"/>
      <w:szCs w:val="24"/>
    </w:rPr>
  </w:style>
  <w:style w:type="paragraph" w:styleId="895">
    <w:name w:val="Caption111"/>
    <w:basedOn w:val="859"/>
    <w:qFormat/>
    <w:pPr>
      <w:spacing w:before="120" w:after="120"/>
      <w:suppressLineNumbers/>
    </w:pPr>
    <w:rPr>
      <w:rFonts w:cs="Lohit Devanagari;Times New Roman"/>
      <w:i/>
      <w:iCs/>
      <w:sz w:val="24"/>
      <w:szCs w:val="24"/>
    </w:rPr>
  </w:style>
  <w:style w:type="paragraph" w:styleId="896">
    <w:name w:val="Caption1111"/>
    <w:basedOn w:val="859"/>
    <w:qFormat/>
    <w:pPr>
      <w:spacing w:before="120" w:after="120"/>
      <w:suppressLineNumbers/>
    </w:pPr>
    <w:rPr>
      <w:rFonts w:cs="Lohit Devanagari;Times New Roman"/>
      <w:i/>
      <w:iCs/>
      <w:sz w:val="24"/>
      <w:szCs w:val="24"/>
    </w:rPr>
  </w:style>
  <w:style w:type="paragraph" w:styleId="897">
    <w:name w:val="Caption11111"/>
    <w:basedOn w:val="859"/>
    <w:qFormat/>
    <w:pPr>
      <w:spacing w:before="120" w:after="120"/>
      <w:suppressLineNumbers/>
    </w:pPr>
    <w:rPr>
      <w:rFonts w:cs="Lohit Devanagari;Times New Roman"/>
      <w:i/>
      <w:iCs/>
      <w:sz w:val="24"/>
      <w:szCs w:val="24"/>
    </w:rPr>
  </w:style>
  <w:style w:type="paragraph" w:styleId="898">
    <w:name w:val="Caption111111"/>
    <w:basedOn w:val="859"/>
    <w:qFormat/>
    <w:pPr>
      <w:spacing w:before="120" w:after="120"/>
      <w:suppressLineNumbers/>
    </w:pPr>
    <w:rPr>
      <w:rFonts w:cs="Lohit Devanagari;Times New Roman"/>
      <w:i/>
      <w:iCs/>
      <w:sz w:val="24"/>
      <w:szCs w:val="24"/>
    </w:rPr>
  </w:style>
  <w:style w:type="paragraph" w:styleId="899">
    <w:name w:val="Caption1111111"/>
    <w:basedOn w:val="859"/>
    <w:qFormat/>
    <w:pPr>
      <w:spacing w:before="120" w:after="120"/>
      <w:suppressLineNumbers/>
    </w:pPr>
    <w:rPr>
      <w:rFonts w:cs="Lohit Devanagari;Times New Roman"/>
      <w:i/>
      <w:iCs/>
      <w:sz w:val="24"/>
      <w:szCs w:val="24"/>
    </w:rPr>
  </w:style>
  <w:style w:type="paragraph" w:styleId="900">
    <w:name w:val="Название объекта3"/>
    <w:basedOn w:val="859"/>
    <w:qFormat/>
    <w:pPr>
      <w:spacing w:before="120" w:after="120"/>
      <w:suppressLineNumbers/>
    </w:pPr>
    <w:rPr>
      <w:rFonts w:cs="Lohit Devanagari;Times New Roman"/>
      <w:i/>
      <w:iCs/>
      <w:sz w:val="24"/>
      <w:szCs w:val="24"/>
    </w:rPr>
  </w:style>
  <w:style w:type="paragraph" w:styleId="901">
    <w:name w:val="Указатель3"/>
    <w:basedOn w:val="859"/>
    <w:qFormat/>
    <w:pPr>
      <w:suppressLineNumbers/>
    </w:pPr>
    <w:rPr>
      <w:rFonts w:cs="Lohit Devanagari;Times New Roman"/>
    </w:rPr>
  </w:style>
  <w:style w:type="paragraph" w:styleId="902">
    <w:name w:val="Caption11111111"/>
    <w:basedOn w:val="859"/>
    <w:qFormat/>
    <w:pPr>
      <w:spacing w:before="120" w:after="120"/>
      <w:suppressLineNumbers/>
    </w:pPr>
    <w:rPr>
      <w:rFonts w:cs="Lohit Devanagari;Times New Roman"/>
      <w:i/>
      <w:iCs/>
      <w:sz w:val="24"/>
      <w:szCs w:val="24"/>
    </w:rPr>
  </w:style>
  <w:style w:type="paragraph" w:styleId="903">
    <w:name w:val="Название объекта2"/>
    <w:basedOn w:val="859"/>
    <w:qFormat/>
    <w:pPr>
      <w:spacing w:before="120" w:after="120"/>
      <w:suppressLineNumbers/>
    </w:pPr>
    <w:rPr>
      <w:rFonts w:cs="Lohit Devanagari;Times New Roman"/>
      <w:i/>
      <w:iCs/>
      <w:sz w:val="24"/>
      <w:szCs w:val="24"/>
    </w:rPr>
  </w:style>
  <w:style w:type="paragraph" w:styleId="904">
    <w:name w:val="Указатель2"/>
    <w:basedOn w:val="859"/>
    <w:qFormat/>
    <w:pPr>
      <w:suppressLineNumbers/>
    </w:pPr>
    <w:rPr>
      <w:rFonts w:cs="Lohit Devanagari;Times New Roman"/>
    </w:rPr>
  </w:style>
  <w:style w:type="paragraph" w:styleId="905">
    <w:name w:val="Caption111111111"/>
    <w:basedOn w:val="859"/>
    <w:qFormat/>
    <w:pPr>
      <w:spacing w:before="120" w:after="120"/>
      <w:suppressLineNumbers/>
    </w:pPr>
    <w:rPr>
      <w:rFonts w:cs="Lohit Devanagari;Times New Roman"/>
      <w:i/>
      <w:iCs/>
      <w:sz w:val="24"/>
      <w:szCs w:val="24"/>
    </w:rPr>
  </w:style>
  <w:style w:type="paragraph" w:styleId="906">
    <w:name w:val="Caption1111111111"/>
    <w:basedOn w:val="859"/>
    <w:qFormat/>
    <w:pPr>
      <w:spacing w:before="120" w:after="120"/>
      <w:suppressLineNumbers/>
    </w:pPr>
    <w:rPr>
      <w:rFonts w:cs="Lohit Devanagari;Times New Roman"/>
      <w:i/>
      <w:iCs/>
      <w:sz w:val="24"/>
      <w:szCs w:val="24"/>
    </w:rPr>
  </w:style>
  <w:style w:type="paragraph" w:styleId="907">
    <w:name w:val="Caption11111111111"/>
    <w:basedOn w:val="859"/>
    <w:qFormat/>
    <w:pPr>
      <w:spacing w:before="120" w:after="120"/>
      <w:suppressLineNumbers/>
    </w:pPr>
    <w:rPr>
      <w:rFonts w:cs="Lohit Devanagari;Times New Roman"/>
      <w:i/>
      <w:iCs/>
      <w:sz w:val="24"/>
      <w:szCs w:val="24"/>
    </w:rPr>
  </w:style>
  <w:style w:type="paragraph" w:styleId="908">
    <w:name w:val="Caption111111111111"/>
    <w:basedOn w:val="859"/>
    <w:qFormat/>
    <w:pPr>
      <w:spacing w:before="120" w:after="120"/>
      <w:suppressLineNumbers/>
    </w:pPr>
    <w:rPr>
      <w:rFonts w:cs="Lohit Devanagari;Times New Roman"/>
      <w:i/>
      <w:iCs/>
      <w:sz w:val="24"/>
      <w:szCs w:val="24"/>
    </w:rPr>
  </w:style>
  <w:style w:type="paragraph" w:styleId="909">
    <w:name w:val="Caption1111111111111"/>
    <w:basedOn w:val="859"/>
    <w:qFormat/>
    <w:pPr>
      <w:spacing w:before="120" w:after="120"/>
      <w:suppressLineNumbers/>
    </w:pPr>
    <w:rPr>
      <w:rFonts w:cs="Lohit Devanagari;Times New Roman"/>
      <w:i/>
      <w:iCs/>
      <w:sz w:val="24"/>
      <w:szCs w:val="24"/>
    </w:rPr>
  </w:style>
  <w:style w:type="paragraph" w:styleId="910">
    <w:name w:val="Caption11111111111111"/>
    <w:basedOn w:val="859"/>
    <w:qFormat/>
    <w:pPr>
      <w:spacing w:before="120" w:after="120"/>
      <w:suppressLineNumbers/>
    </w:pPr>
    <w:rPr>
      <w:rFonts w:cs="Lohit Devanagari;Times New Roman"/>
      <w:i/>
      <w:iCs/>
      <w:sz w:val="24"/>
      <w:szCs w:val="24"/>
    </w:rPr>
  </w:style>
  <w:style w:type="paragraph" w:styleId="911">
    <w:name w:val="Caption111111111111111"/>
    <w:basedOn w:val="859"/>
    <w:qFormat/>
    <w:pPr>
      <w:spacing w:before="120" w:after="120"/>
      <w:suppressLineNumbers/>
    </w:pPr>
    <w:rPr>
      <w:rFonts w:cs="Lohit Devanagari;Times New Roman"/>
      <w:i/>
      <w:iCs/>
      <w:sz w:val="24"/>
      <w:szCs w:val="24"/>
    </w:rPr>
  </w:style>
  <w:style w:type="paragraph" w:styleId="912">
    <w:name w:val="Caption1111111111111111"/>
    <w:basedOn w:val="859"/>
    <w:qFormat/>
    <w:pPr>
      <w:spacing w:before="120" w:after="120"/>
      <w:suppressLineNumbers/>
    </w:pPr>
    <w:rPr>
      <w:rFonts w:cs="Lohit Devanagari;Times New Roman"/>
      <w:i/>
      <w:iCs/>
      <w:sz w:val="24"/>
      <w:szCs w:val="24"/>
    </w:rPr>
  </w:style>
  <w:style w:type="paragraph" w:styleId="913">
    <w:name w:val="Caption11111111111111111"/>
    <w:basedOn w:val="859"/>
    <w:qFormat/>
    <w:pPr>
      <w:spacing w:before="120" w:after="120"/>
      <w:suppressLineNumbers/>
    </w:pPr>
    <w:rPr>
      <w:rFonts w:cs="Lohit Devanagari;Times New Roman"/>
      <w:i/>
      <w:iCs/>
      <w:sz w:val="24"/>
      <w:szCs w:val="24"/>
    </w:rPr>
  </w:style>
  <w:style w:type="paragraph" w:styleId="914">
    <w:name w:val="Caption111111111111111111"/>
    <w:basedOn w:val="859"/>
    <w:qFormat/>
    <w:pPr>
      <w:spacing w:before="120" w:after="120"/>
      <w:suppressLineNumbers/>
    </w:pPr>
    <w:rPr>
      <w:rFonts w:cs="Lohit Devanagari;Times New Roman"/>
      <w:i/>
      <w:iCs/>
      <w:sz w:val="24"/>
      <w:szCs w:val="24"/>
    </w:rPr>
  </w:style>
  <w:style w:type="paragraph" w:styleId="915">
    <w:name w:val="Название объекта1"/>
    <w:basedOn w:val="859"/>
    <w:qFormat/>
    <w:pPr>
      <w:spacing w:before="120" w:after="120"/>
      <w:suppressLineNumbers/>
    </w:pPr>
    <w:rPr>
      <w:rFonts w:cs="Lohit Devanagari;Times New Roman"/>
      <w:i/>
      <w:iCs/>
      <w:sz w:val="24"/>
      <w:szCs w:val="24"/>
    </w:rPr>
  </w:style>
  <w:style w:type="paragraph" w:styleId="916">
    <w:name w:val="Указатель1"/>
    <w:basedOn w:val="859"/>
    <w:qFormat/>
    <w:pPr>
      <w:suppressLineNumbers/>
    </w:pPr>
    <w:rPr>
      <w:rFonts w:cs="Lohit Devanagari;Times New Roman"/>
    </w:rPr>
  </w:style>
  <w:style w:type="paragraph" w:styleId="917">
    <w:name w:val="Caption1111111111111111111"/>
    <w:basedOn w:val="859"/>
    <w:qFormat/>
    <w:pPr>
      <w:spacing w:before="120" w:after="120"/>
      <w:suppressLineNumbers/>
    </w:pPr>
    <w:rPr>
      <w:rFonts w:cs="Lohit Devanagari;Times New Roman"/>
      <w:i/>
      <w:iCs/>
      <w:sz w:val="24"/>
      <w:szCs w:val="24"/>
    </w:rPr>
  </w:style>
  <w:style w:type="paragraph" w:styleId="918">
    <w:name w:val="ConsPlusNormal"/>
    <w:qFormat/>
    <w:pPr>
      <w:jc w:val="left"/>
      <w:spacing w:before="0" w:after="0"/>
      <w:widowControl w:val="off"/>
    </w:pPr>
    <w:rPr>
      <w:rFonts w:ascii="Arial" w:hAnsi="Arial" w:eastAsia="Times New Roman" w:cs="Arial"/>
      <w:color w:val="auto"/>
      <w:sz w:val="16"/>
      <w:szCs w:val="16"/>
      <w:lang w:val="ru-RU" w:eastAsia="zh-CN" w:bidi="ar-SA"/>
    </w:rPr>
  </w:style>
  <w:style w:type="paragraph" w:styleId="919">
    <w:name w:val="Без интервала"/>
    <w:qFormat/>
    <w:pPr>
      <w:jc w:val="left"/>
      <w:spacing w:before="0" w:after="0"/>
      <w:widowControl/>
    </w:pPr>
    <w:rPr>
      <w:rFonts w:ascii="Calibri" w:hAnsi="Calibri" w:eastAsia="Times New Roman" w:cs="Calibri"/>
      <w:color w:val="auto"/>
      <w:sz w:val="22"/>
      <w:szCs w:val="22"/>
      <w:lang w:val="ru-RU" w:eastAsia="zh-CN" w:bidi="ar-SA"/>
    </w:rPr>
  </w:style>
  <w:style w:type="paragraph" w:styleId="920">
    <w:name w:val="footnote text"/>
    <w:basedOn w:val="859"/>
    <w:pPr>
      <w:spacing w:before="0" w:after="0" w:line="240" w:lineRule="auto"/>
    </w:pPr>
    <w:rPr>
      <w:rFonts w:ascii="Calibri" w:hAnsi="Calibri" w:eastAsia="Calibri" w:cs="Times New Roman"/>
      <w:sz w:val="20"/>
      <w:szCs w:val="20"/>
    </w:rPr>
  </w:style>
  <w:style w:type="paragraph" w:styleId="921">
    <w:name w:val="Title"/>
    <w:basedOn w:val="888"/>
    <w:next w:val="884"/>
    <w:qFormat/>
    <w:pPr>
      <w:jc w:val="center"/>
    </w:pPr>
    <w:rPr>
      <w:b/>
      <w:bCs/>
      <w:sz w:val="56"/>
      <w:szCs w:val="56"/>
    </w:rPr>
  </w:style>
  <w:style w:type="paragraph" w:styleId="922">
    <w:name w:val="Блочная цитата"/>
    <w:basedOn w:val="859"/>
    <w:qFormat/>
    <w:pPr>
      <w:ind w:left="567" w:right="567" w:firstLine="0"/>
      <w:spacing w:before="0" w:after="283"/>
    </w:pPr>
  </w:style>
  <w:style w:type="paragraph" w:styleId="923">
    <w:name w:val="Колонтитул"/>
    <w:basedOn w:val="859"/>
    <w:qFormat/>
    <w:pPr>
      <w:tabs>
        <w:tab w:val="clear" w:pos="708" w:leader="none"/>
        <w:tab w:val="center" w:pos="4535" w:leader="none"/>
        <w:tab w:val="right" w:pos="9071" w:leader="none"/>
      </w:tabs>
      <w:suppressLineNumbers/>
    </w:pPr>
  </w:style>
  <w:style w:type="paragraph" w:styleId="924">
    <w:name w:val="Header and Footer"/>
    <w:basedOn w:val="859"/>
    <w:qFormat/>
    <w:pPr>
      <w:tabs>
        <w:tab w:val="clear" w:pos="708" w:leader="none"/>
        <w:tab w:val="center" w:pos="4819" w:leader="none"/>
        <w:tab w:val="right" w:pos="9638" w:leader="none"/>
      </w:tabs>
      <w:suppressLineNumbers/>
    </w:pPr>
  </w:style>
  <w:style w:type="paragraph" w:styleId="925">
    <w:name w:val="Header"/>
    <w:basedOn w:val="923"/>
    <w:pPr>
      <w:suppressLineNumbers/>
    </w:pPr>
  </w:style>
  <w:style w:type="paragraph" w:styleId="926">
    <w:name w:val="Footer"/>
    <w:basedOn w:val="923"/>
    <w:pPr>
      <w:suppressLineNumbers/>
    </w:pPr>
  </w:style>
  <w:style w:type="paragraph" w:styleId="927">
    <w:name w:val="Текст в заданном формате"/>
    <w:basedOn w:val="859"/>
    <w:qFormat/>
    <w:pPr>
      <w:spacing w:before="0" w:after="0"/>
    </w:pPr>
    <w:rPr>
      <w:rFonts w:ascii="Iosevka Term SS03;Times New Roman" w:hAnsi="Iosevka Term SS03;Times New Roman" w:eastAsia="Iosevka Term SS03;Times New Roman" w:cs="Iosevka Term SS03;Times New Roman"/>
      <w:sz w:val="20"/>
      <w:szCs w:val="20"/>
    </w:rPr>
  </w:style>
  <w:style w:type="paragraph" w:styleId="928">
    <w:name w:val="No Spacing"/>
    <w:basedOn w:val="859"/>
    <w:qFormat/>
    <w:rPr>
      <w:szCs w:val="32"/>
    </w:rPr>
  </w:style>
  <w:style w:type="paragraph" w:styleId="929">
    <w:name w:val="ConsPlusNonformat"/>
    <w:qFormat/>
    <w:pPr>
      <w:jc w:val="left"/>
      <w:spacing w:before="0" w:after="0"/>
      <w:widowControl w:val="off"/>
    </w:pPr>
    <w:rPr>
      <w:rFonts w:ascii="Courier New" w:hAnsi="Courier New" w:eastAsia="Arial" w:cs="Courier New"/>
      <w:color w:val="auto"/>
      <w:sz w:val="20"/>
      <w:szCs w:val="24"/>
      <w:lang w:val="ru-RU" w:eastAsia="zh-CN" w:bidi="hi-IN"/>
    </w:rPr>
  </w:style>
  <w:style w:type="paragraph" w:styleId="930">
    <w:name w:val="Содержимое таблицы"/>
    <w:basedOn w:val="859"/>
    <w:qFormat/>
    <w:pPr>
      <w:widowControl w:val="off"/>
      <w:suppressLineNumbers/>
    </w:pPr>
  </w:style>
  <w:style w:type="paragraph" w:styleId="931">
    <w:name w:val="Заголовок таблицы"/>
    <w:basedOn w:val="930"/>
    <w:qFormat/>
    <w:pPr>
      <w:jc w:val="center"/>
      <w:suppressLineNumbers/>
    </w:pPr>
    <w:rPr>
      <w:b/>
      <w:bCs/>
    </w:rPr>
  </w:style>
  <w:style w:type="paragraph" w:styleId="932">
    <w:name w:val="Caption2"/>
    <w:basedOn w:val="859"/>
    <w:qFormat/>
    <w:pPr>
      <w:jc w:val="left"/>
      <w:spacing w:before="120" w:after="120" w:line="252" w:lineRule="auto"/>
      <w:widowControl/>
    </w:pPr>
    <w:rPr>
      <w:rFonts w:cs="Lohit Devanagari;Times New Roman"/>
      <w:i/>
      <w:iCs/>
      <w:color w:val="auto"/>
      <w:sz w:val="24"/>
      <w:szCs w:val="24"/>
      <w:lang w:val="ru-RU" w:eastAsia="zh-CN" w:bidi="ar-SA"/>
    </w:rPr>
  </w:style>
  <w:style w:type="paragraph" w:styleId="933">
    <w:name w:val="Абзац списка"/>
    <w:basedOn w:val="859"/>
    <w:qFormat/>
    <w:pPr>
      <w:contextualSpacing/>
      <w:ind w:left="720" w:right="0" w:firstLine="0"/>
      <w:spacing w:before="0" w:after="160" w:line="264" w:lineRule="auto"/>
    </w:pPr>
    <w:rPr>
      <w:rFonts w:ascii="Calibri" w:hAnsi="Calibri" w:cs="Times New Roman"/>
      <w:color w:val="000000"/>
      <w:szCs w:val="20"/>
    </w:rPr>
  </w:style>
  <w:style w:type="paragraph" w:styleId="934">
    <w:name w:val="sc-ighpsv"/>
    <w:basedOn w:val="859"/>
    <w:qFormat/>
    <w:pPr>
      <w:spacing w:before="280" w:after="280" w:line="240" w:lineRule="auto"/>
    </w:pPr>
    <w:rPr>
      <w:rFonts w:ascii="Times New Roman" w:hAnsi="Times New Roman" w:cs="Times New Roman"/>
      <w:sz w:val="24"/>
      <w:szCs w:val="24"/>
    </w:rPr>
  </w:style>
  <w:style w:type="paragraph" w:styleId="935">
    <w:name w:val="sc-ddwlg"/>
    <w:basedOn w:val="859"/>
    <w:qFormat/>
    <w:pPr>
      <w:spacing w:before="280" w:after="280" w:line="240" w:lineRule="auto"/>
    </w:pPr>
    <w:rPr>
      <w:rFonts w:ascii="Times New Roman" w:hAnsi="Times New Roman" w:cs="Times New Roman"/>
      <w:sz w:val="24"/>
      <w:szCs w:val="24"/>
    </w:rPr>
  </w:style>
  <w:style w:type="paragraph" w:styleId="936">
    <w:name w:val="Table Contents"/>
    <w:basedOn w:val="859"/>
    <w:qFormat/>
    <w:pPr>
      <w:widowControl w:val="off"/>
      <w:suppressLineNumbers/>
    </w:pPr>
  </w:style>
  <w:style w:type="paragraph" w:styleId="937">
    <w:name w:val="Table Heading"/>
    <w:basedOn w:val="936"/>
    <w:qFormat/>
    <w:pPr>
      <w:jc w:val="center"/>
      <w:suppressLineNumbers/>
    </w:pPr>
    <w:rPr>
      <w:b/>
      <w:bCs/>
    </w:rPr>
  </w:style>
  <w:style w:type="numbering" w:styleId="938">
    <w:name w:val="WW8Num1"/>
    <w:qFormat/>
  </w:style>
  <w:style w:type="numbering" w:styleId="939">
    <w:name w:val="WW8Num2"/>
    <w:qFormat/>
  </w:style>
  <w:style w:type="numbering" w:styleId="940">
    <w:name w:val="WW8Num3"/>
    <w:qFormat/>
  </w:style>
  <w:style w:type="numbering" w:styleId="941">
    <w:name w:val="WW8Num4"/>
    <w:qFormat/>
  </w:style>
  <w:style w:type="character" w:styleId="942" w:default="1">
    <w:name w:val="Default Paragraph Font"/>
    <w:uiPriority w:val="1"/>
    <w:semiHidden/>
    <w:unhideWhenUsed/>
  </w:style>
  <w:style w:type="numbering" w:styleId="943" w:default="1">
    <w:name w:val="No List"/>
    <w:uiPriority w:val="99"/>
    <w:semiHidden/>
    <w:unhideWhenUsed/>
  </w:style>
  <w:style w:type="table" w:styleId="944" w:default="1">
    <w:name w:val="Normal Table"/>
    <w:uiPriority w:val="99"/>
    <w:semiHidden/>
    <w:unhideWhenUsed/>
    <w:tbl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r7-office/2024.4.2.721</Application>
  <Template>Normal_x005F_x0000_</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Фортуна Виктория Андреевна</dc:creator>
  <dc:description/>
  <dc:language>ru-RU</dc:language>
  <cp:lastModifiedBy>Арсений Ломакин</cp:lastModifiedBy>
  <cp:revision>87</cp:revision>
  <dcterms:created xsi:type="dcterms:W3CDTF">2024-12-15T23:49:00Z</dcterms:created>
  <dcterms:modified xsi:type="dcterms:W3CDTF">2025-11-27T07:39:19Z</dcterms:modified>
</cp:coreProperties>
</file>

<file path=docProps/custom.xml><?xml version="1.0" encoding="utf-8"?>
<Properties xmlns="http://schemas.openxmlformats.org/officeDocument/2006/custom-properties" xmlns:vt="http://schemas.openxmlformats.org/officeDocument/2006/docPropsVTypes"/>
</file>