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jc w:val="center"/>
        <w:spacing w:after="200" w:line="276" w:lineRule="auto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ПРОТОКОЛ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tbl>
      <w:tblPr>
        <w:tblStyle w:val="618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4470"/>
        <w:gridCol w:w="4485"/>
      </w:tblGrid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70" w:type="dxa"/>
            <w:vAlign w:val="top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Дата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85" w:type="dxa"/>
            <w:vAlign w:val="top"/>
            <w:textDirection w:val="lrTb"/>
            <w:noWrap w:val="false"/>
          </w:tcPr>
          <w:p>
            <w:pPr>
              <w:jc w:val="right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27.06.2025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70" w:type="dxa"/>
            <w:vAlign w:val="top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Время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85" w:type="dxa"/>
            <w:vAlign w:val="top"/>
            <w:textDirection w:val="lrTb"/>
            <w:noWrap w:val="false"/>
          </w:tcPr>
          <w:p>
            <w:pPr>
              <w:jc w:val="right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70" w:type="dxa"/>
            <w:vAlign w:val="top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Формат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85" w:type="dxa"/>
            <w:vAlign w:val="top"/>
            <w:textDirection w:val="lrTb"/>
            <w:noWrap w:val="false"/>
          </w:tcPr>
          <w:p>
            <w:pPr>
              <w:jc w:val="right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Очный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70" w:type="dxa"/>
            <w:vAlign w:val="top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Место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24" w:space="0"/>
              <w:left w:val="single" w:color="FFFFFF" w:themeColor="background1" w:sz="24" w:space="0"/>
              <w:bottom w:val="single" w:color="FFFFFF" w:themeColor="background1" w:sz="24" w:space="0"/>
              <w:right w:val="single" w:color="FFFFFF" w:themeColor="background1" w:sz="24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485" w:type="dxa"/>
            <w:vAlign w:val="top"/>
            <w:textDirection w:val="lrTb"/>
            <w:noWrap w:val="false"/>
          </w:tcPr>
          <w:p>
            <w:pPr>
              <w:pStyle w:val="617"/>
              <w:ind w:left="0" w:right="0"/>
              <w:jc w:val="right"/>
              <w:spacing w:before="0" w:beforeAutospacing="0" w:after="0" w:afterAutospacing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>
      <w:pPr>
        <w:spacing w:after="200" w:line="276" w:lineRule="auto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tbl>
      <w:tblPr>
        <w:tblStyle w:val="618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3975"/>
        <w:gridCol w:w="4530"/>
      </w:tblGrid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№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Участник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Организация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Зубков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  <w:t xml:space="preserve">Ломакин А.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8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3975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ffffff" w:themeFill="background1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top w:w="0" w:type="dxa"/>
              <w:right w:w="105" w:type="dxa"/>
              <w:bottom w:w="0" w:type="dxa"/>
            </w:tcMar>
            <w:tcW w:w="4530" w:type="dxa"/>
            <w:vAlign w:val="top"/>
            <w:textDirection w:val="lrTb"/>
            <w:noWrap w:val="false"/>
          </w:tcPr>
          <w:p>
            <w:pPr>
              <w:jc w:val="center"/>
              <w:spacing w:after="0"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>
      <w:pPr>
        <w:spacing w:after="200" w:line="276" w:lineRule="auto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p>
      <w:pPr>
        <w:spacing w:after="200" w:line="276" w:lineRule="auto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Секретарь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собрания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Игнатенко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.</w:t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p>
      <w:pPr>
        <w:jc w:val="center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Повестка совещания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1"/>
        </w:numPr>
        <w:jc w:val="left"/>
        <w:spacing w:line="276" w:lineRule="auto"/>
        <w:shd w:val="clear" w:color="auto" w:fill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Формирование потребности, закупки и распределения препаратов между медицинскими учреждениями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1"/>
        </w:numPr>
        <w:jc w:val="left"/>
        <w:spacing w:line="276" w:lineRule="auto"/>
        <w:shd w:val="clear" w:color="auto" w:fill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Вопросы распределения ресурсов между медучреждениями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1"/>
        </w:numPr>
        <w:jc w:val="left"/>
        <w:spacing w:line="276" w:lineRule="auto"/>
        <w:shd w:val="clear" w:color="auto" w:fill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Вопросы возможности увеличения контрактов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1"/>
        </w:numPr>
        <w:jc w:val="left"/>
        <w:spacing w:line="276" w:lineRule="auto"/>
        <w:shd w:val="clear" w:color="auto" w:fill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Интеграция данных между модулями (Барс, КЗО, Волгофарм) и создание единых справочников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1"/>
        </w:numPr>
        <w:jc w:val="left"/>
        <w:spacing w:line="276" w:lineRule="auto"/>
        <w:shd w:val="clear" w:color="auto" w:fill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Вопросы уникализации кодов и предотвращения дублирования данных</w:t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17"/>
        <w:jc w:val="left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ПОСТАНОВИЛИ: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tbl>
      <w:tblPr>
        <w:tblStyle w:val="48"/>
        <w:tblW w:w="0" w:type="auto"/>
        <w:tblLayout w:type="fixed"/>
        <w:tblLook w:val="06A0" w:firstRow="1" w:lastRow="0" w:firstColumn="1" w:lastColumn="0" w:noHBand="1" w:noVBand="1"/>
      </w:tblPr>
      <w:tblGrid>
        <w:gridCol w:w="708"/>
        <w:gridCol w:w="12"/>
        <w:gridCol w:w="8295"/>
      </w:tblGrid>
      <w:tr>
        <w:tblPrEx/>
        <w:trPr>
          <w:trHeight w:val="300"/>
        </w:trPr>
        <w:tc>
          <w:tcPr>
            <w:gridSpan w:val="2"/>
            <w:tcW w:w="720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d9d9d9" w:themeFill="background1" w:themeFillShade="D9"/>
            <w:tcW w:w="9015" w:type="dxa"/>
            <w:vAlign w:val="center"/>
            <w:textDirection w:val="lrTb"/>
            <w:noWrap w:val="false"/>
          </w:tcPr>
          <w:p>
            <w:pPr>
              <w:pStyle w:val="617"/>
              <w:ind w:left="0"/>
              <w:jc w:val="left"/>
              <w:spacing w:line="276" w:lineRule="auto"/>
              <w:shd w:val="clear" w:color="d9d9d9" w:themeColor="background1" w:themeShade="D9" w:fill="d9d9d9" w:themeFill="background1" w:themeFillShade="D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Процесс закупки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1.1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textDirection w:val="lrTb"/>
            <w:noWrap w:val="false"/>
          </w:tcPr>
          <w:p>
            <w:pPr>
              <w:ind w:left="0" w:right="0" w:firstLine="0"/>
              <w:spacing w:before="0"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Потребность формируется больницами на основе МНН, проверяется КЗО, затем передается в тендерный отдел.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1.2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textDirection w:val="lrTb"/>
            <w:noWrap w:val="false"/>
          </w:tcPr>
          <w:p>
            <w:pPr>
              <w:ind w:left="0" w:right="0" w:firstLine="0"/>
              <w:spacing w:before="0"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После закупки препараты поступают на виртуальный склад, и больницы формируют заявки (корзины) из доступных остатков.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1.3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Контракты заключаются индивидуально с каждой больницей, а не централизованно.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d9d9d9" w:themeFill="background1" w:themeFillShade="D9"/>
            <w:tcW w:w="9015" w:type="dxa"/>
            <w:vAlign w:val="center"/>
            <w:textDirection w:val="lrTb"/>
            <w:noWrap w:val="false"/>
          </w:tcPr>
          <w:p>
            <w:pPr>
              <w:ind w:left="0" w:firstLine="0"/>
              <w:jc w:val="left"/>
              <w:spacing w:line="276" w:lineRule="auto"/>
              <w:shd w:val="clear" w:color="d9d9d9" w:themeColor="background1" w:themeShade="D9" w:fill="d9d9d9" w:themeFill="background1" w:themeFillShade="D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  <w:t xml:space="preserve">Распределение ресурсов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850"/>
        </w:trPr>
        <w:tc>
          <w:tcPr>
            <w:gridSpan w:val="2"/>
            <w:tcW w:w="720" w:type="dxa"/>
            <w:vAlign w:val="center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2.1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Механизм распределения: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9"/>
              </w:num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Сбор потребностей от всех больниц, объединение и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проверка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их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обоснованности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в КЗО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9"/>
              </w:num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Распределение закупаемых препаратов между на основе сформированных заявок(корзин), но с учетом лимитов, установленных в потребности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9"/>
              </w:num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Корректировка КЗО квот между медучреждениями в случае изменения приоритетов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2.2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Контроль лимитов: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14"/>
              </w:num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В системе должна быть видна динамика остатков и заказанных объемов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14"/>
              </w:numPr>
              <w:ind w:right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В случае нехватки ресурсов КЗО выступает арбитром для перераспределения между учреждениями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2.3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Требуется внедрение статусов заявок (подтвержденные, ожидающие согласования, отклоненные)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tcW w:w="9015" w:type="dxa"/>
            <w:vAlign w:val="center"/>
            <w:vMerge w:val="restart"/>
            <w:textDirection w:val="lrTb"/>
            <w:noWrap w:val="false"/>
          </w:tcPr>
          <w:p>
            <w:pPr>
              <w:ind w:left="0" w:firstLine="0"/>
              <w:jc w:val="left"/>
              <w:spacing w:line="276" w:lineRule="auto"/>
              <w:shd w:val="clear" w:color="d9d9d9" w:themeColor="background1" w:themeShade="D9" w:fill="d9d9d9" w:themeFill="background1" w:themeFillShade="D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Увеличение контрактов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3.1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/>
                <w:bCs/>
                <w:i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Условия увеличения: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iCs w:val="0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15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Больницы могут увеличить объем закупки по контракту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t xml:space="preserve">до 30%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 от изначальной суммы, но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t xml:space="preserve">только один раз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 в течение срока действия контракта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21"/>
              <w:numPr>
                <w:ilvl w:val="0"/>
                <w:numId w:val="15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Увеличение возможно только при согласии поставщика и наличии остатков на складе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3.2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Процедура согласования: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6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Заявки на увеличение должны иметь статус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t xml:space="preserve">"на согласовании"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 и быть видимыми для КЗО и Волгофарма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6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Если поставщик отказывает в увеличении, больница должна либо сократить запрос, либо инициировать новый контракт через КЗО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3.3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Ограничения: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7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Нельзя превышать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  <w:t xml:space="preserve">общий лимит потребности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утвержденный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7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Если больница изначально заключила контракт на 100% потребности, увеличение невозможно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3.4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В технической реализации необходимо предусмотреть: 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9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Автоматическую проверку лимитов при попытке увеличения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9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Уведомления для поставщика и КЗО о запросе на допоставку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  <w:p>
            <w:pPr>
              <w:pStyle w:val="621"/>
              <w:numPr>
                <w:ilvl w:val="0"/>
                <w:numId w:val="19"/>
              </w:num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Запрет на повторное увеличение после использования лимита в 30%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d9d9d9" w:themeColor="background1" w:themeShade="D9" w:fill="d9d9d9" w:themeFill="background1" w:themeFillShade="D9"/>
            <w:tcW w:w="9015" w:type="dxa"/>
            <w:vAlign w:val="center"/>
            <w:vMerge w:val="restart"/>
            <w:textDirection w:val="lrTb"/>
            <w:noWrap w:val="false"/>
          </w:tcPr>
          <w:p>
            <w:pPr>
              <w:ind w:left="0" w:firstLine="0"/>
              <w:jc w:val="left"/>
              <w:spacing w:line="276" w:lineRule="auto"/>
              <w:shd w:val="clear" w:color="d9d9d9" w:themeColor="background1" w:themeShade="D9" w:fill="d9d9d9" w:themeFill="background1" w:themeFillShade="D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highlight w:val="white"/>
              </w:rPr>
              <w:t xml:space="preserve">Интеграция данных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4.1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60" w:line="276" w:lineRule="auto"/>
              <w:rPr>
                <w:rFonts w:ascii="Times New Roman" w:hAnsi="Times New Roman" w:cs="Times New Roman"/>
                <w:color w:val="000000" w:themeColor="text1"/>
                <w:sz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Создать единые справочники: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white"/>
              </w:rPr>
            </w:r>
          </w:p>
          <w:p>
            <w:pPr>
              <w:pStyle w:val="621"/>
              <w:numPr>
                <w:ilvl w:val="0"/>
                <w:numId w:val="22"/>
              </w:numPr>
              <w:ind w:right="0"/>
              <w:spacing w:before="0"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Первый уровень: МНН, дозировка, форма выпуска (ЕСКЛП)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white"/>
              </w:rPr>
            </w:r>
          </w:p>
          <w:p>
            <w:pPr>
              <w:pStyle w:val="621"/>
              <w:numPr>
                <w:ilvl w:val="0"/>
                <w:numId w:val="22"/>
              </w:numPr>
              <w:ind w:right="0"/>
              <w:spacing w:before="0"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Второй уровень: торговые наименования, производитель (модификаторы)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tcW w:w="720" w:type="dxa"/>
            <w:vAlign w:val="center"/>
            <w:vMerge w:val="restart"/>
            <w:textDirection w:val="lrTb"/>
            <w:noWrap w:val="false"/>
          </w:tcPr>
          <w:p>
            <w:pPr>
              <w:pStyle w:val="617"/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4.2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829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Данные из Барс будут выгружаться для аналитики, но мастер-база останется в системе Волгофарма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tcW w:w="9015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d9d9d9" w:themeColor="background1" w:themeShade="D9" w:fill="d9d9d9" w:themeFill="background1" w:themeFillShade="D9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  <w:t xml:space="preserve">Уникализация кодов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  <w:t xml:space="preserve">5.1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gridSpan w:val="2"/>
            <w:tcW w:w="8307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Для предотвращения дублей ввести строгие правила валидации при заполнении справочников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300"/>
        </w:trPr>
        <w:tc>
          <w:tcPr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  <w:t xml:space="preserve">5.2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gridSpan w:val="2"/>
            <w:tcW w:w="8307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line="276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highlight w:val="white"/>
              </w:rPr>
              <w:t xml:space="preserve">Рассмотреть возможность составного наименования (разделение на части) вместо единого текстового поля для упрощения парсинга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>
      <w:pPr>
        <w:pStyle w:val="617"/>
        <w:jc w:val="left"/>
        <w:spacing w:line="276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17"/>
        <w:jc w:val="center"/>
        <w:spacing w:line="276" w:lineRule="auto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  <w:lang w:val="ru-RU"/>
        </w:rPr>
        <w:t xml:space="preserve">Крайние даты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r>
    </w:p>
    <w:p>
      <w:pPr>
        <w:spacing w:line="276" w:lineRule="auto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 К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0.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06.2025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3"/>
        </w:numPr>
        <w:spacing w:line="276" w:lineRule="auto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Подготовить таблицу с перечнем полей для справочников, необходимых для взаимодействия с КЗО.</w:t>
      </w:r>
      <w:r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Style w:val="617"/>
        <w:ind w:left="0"/>
        <w:jc w:val="center"/>
        <w:spacing w:line="276" w:lineRule="auto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  <w:t xml:space="preserve">Вопросы следующего совещания</w:t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p>
      <w:pPr>
        <w:pStyle w:val="621"/>
        <w:numPr>
          <w:ilvl w:val="0"/>
          <w:numId w:val="20"/>
        </w:numPr>
        <w:ind w:right="0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Утверждение структуры справочников и их полей.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>
      <w:pPr>
        <w:pStyle w:val="621"/>
        <w:numPr>
          <w:ilvl w:val="0"/>
          <w:numId w:val="20"/>
        </w:numPr>
        <w:ind w:right="0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Обсуждение механизма валидации данных и предотвращения дублирования.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>
      <w:pPr>
        <w:pStyle w:val="621"/>
        <w:numPr>
          <w:ilvl w:val="0"/>
          <w:numId w:val="20"/>
        </w:numPr>
        <w:ind w:right="0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Интеграция с Барс: какие документы и в каком формате будут передаваться.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>
      <w:pPr>
        <w:pStyle w:val="621"/>
        <w:numPr>
          <w:ilvl w:val="0"/>
          <w:numId w:val="20"/>
        </w:numPr>
        <w:ind w:right="0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Решение по динамическому формированию торговых наименований.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>
      <w:pPr>
        <w:pStyle w:val="621"/>
        <w:numPr>
          <w:ilvl w:val="0"/>
          <w:numId w:val="20"/>
        </w:numPr>
        <w:ind w:right="0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  <w:t xml:space="preserve">Вопросы приоритезации заказов между больницами и обработки экстренных заявок.</w:t>
      </w:r>
      <w:r>
        <w:rPr>
          <w:rFonts w:ascii="Times New Roman" w:hAnsi="Times New Roman" w:eastAsia="Times New Roman" w:cs="Times New Roman"/>
          <w:color w:val="000000" w:themeColor="text1"/>
          <w:highlight w:val="white"/>
        </w:rPr>
      </w:r>
    </w:p>
    <w:p>
      <w:pPr>
        <w:ind w:left="0" w:right="0" w:firstLine="0"/>
        <w:spacing w:before="0" w:after="0" w:line="428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color w:val="000000" w:themeColor="text1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Cs w:val="24"/>
          <w:highlight w:val="white"/>
        </w:rPr>
      </w:r>
    </w:p>
    <w:p>
      <w:pPr>
        <w:ind w:left="0" w:right="0" w:firstLine="0"/>
        <w:spacing w:before="0" w:after="0" w:line="428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color w:val="000000" w:themeColor="text1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highlight w:val="white"/>
        </w:rPr>
      </w:r>
    </w:p>
    <w:p>
      <w:pPr>
        <w:pStyle w:val="617"/>
        <w:jc w:val="left"/>
        <w:spacing w:before="240" w:beforeAutospacing="0" w:after="240" w:afterAutospacing="0" w:line="276" w:lineRule="auto"/>
        <w:shd w:val="clear" w:color="ffffff" w:themeColor="background1" w:fill="ffffff" w:themeFill="background1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/>
          <w:sz w:val="24"/>
          <w:szCs w:val="24"/>
          <w:highlight w:val="white"/>
        </w:rPr>
      </w:r>
    </w:p>
    <w:tbl>
      <w:tblPr>
        <w:tblStyle w:val="48"/>
        <w:tblW w:w="0" w:type="auto"/>
        <w:tblBorders>
          <w:top w:val="single" w:color="FFFFFF" w:themeColor="background1" w:sz="12" w:space="0"/>
          <w:left w:val="single" w:color="FFFFFF" w:themeColor="background1" w:sz="12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12" w:space="0"/>
          <w:insideV w:val="single" w:color="FFFFFF" w:themeColor="background1" w:sz="12" w:space="0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>
        <w:tblPrEx/>
        <w:trPr>
          <w:trHeight w:val="720"/>
        </w:trPr>
        <w:tc>
          <w:tcPr>
            <w:tcW w:w="4508" w:type="dxa"/>
            <w:vAlign w:val="center"/>
            <w:textDirection w:val="lrTb"/>
            <w:noWrap w:val="false"/>
          </w:tcPr>
          <w:p>
            <w:pPr>
              <w:pStyle w:val="617"/>
              <w:jc w:val="left"/>
              <w:spacing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Секретарь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4508" w:type="dxa"/>
            <w:vAlign w:val="center"/>
            <w:textDirection w:val="lrTb"/>
            <w:noWrap w:val="false"/>
          </w:tcPr>
          <w:p>
            <w:pPr>
              <w:pStyle w:val="617"/>
              <w:jc w:val="right"/>
              <w:spacing w:line="276" w:lineRule="auto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Игнатенко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  <w:lang w:val="ru-RU"/>
              </w:rPr>
              <w:t xml:space="preserve"> Н.А.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>
      <w:pP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r>
    </w:p>
    <w:p>
      <w:pP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  <w:highlight w:val="white"/>
        </w:rPr>
      </w:r>
    </w:p>
    <w:p>
      <w:pPr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игнатенко</cp:lastModifiedBy>
  <cp:revision>1</cp:revision>
  <dcterms:modified xsi:type="dcterms:W3CDTF">2025-06-29T17:59:11Z</dcterms:modified>
</cp:coreProperties>
</file>