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生産管理システム TPiCS　設定変更・CSV対応資料【要点版】</w:t>
      </w:r>
    </w:p>
    <w:p>
      <w:pPr>
        <w:pBdr>
          <w:bottom w:val="single" w:color="2E5496" w:sz="6" w:space="6"/>
        </w:pBdr>
        <w:spacing w:after="0" w:before="120"/>
        <w:jc w:val="center"/>
      </w:pPr>
      <w:r>
        <w:rPr>
          <w:rFonts w:ascii="Yu Gothic" w:cs="Yu Gothic" w:eastAsia="Yu Gothic" w:hAnsi="Yu Gothic"/>
          <w:color w:val="595959"/>
          <w:sz w:val="20"/>
          <w:szCs w:val="20"/>
        </w:rPr>
        <w:t xml:space="preserve">ISO（医療機器QMS）／コンピュータ化システムバリデーション（CSV）対応</w:t>
      </w:r>
    </w:p>
    <w:p>
      <w:pPr>
        <w:spacing w:after="60" w:before="120"/>
        <w:jc w:val="center"/>
      </w:pPr>
      <w:r>
        <w:rPr>
          <w:rFonts w:ascii="Yu Gothic" w:cs="Yu Gothic" w:eastAsia="Yu Gothic" w:hAnsi="Yu Gothic"/>
          <w:sz w:val="19"/>
          <w:szCs w:val="19"/>
        </w:rPr>
        <w:t xml:space="preserve">株式会社タカハタ電子　／　対象：TPiCS-X（2025年9月稼働）　／　2026年6月26日</w:t>
      </w:r>
    </w:p>
    <w:p>
      <w:pPr>
        <w:spacing w:after="160" w:before="0" w:line="276"/>
      </w:pPr>
      <w:r>
        <w:rPr>
          <w:rFonts w:ascii="Yu Gothic" w:cs="Yu Gothic" w:eastAsia="Yu Gothic" w:hAnsi="Yu Gothic"/>
          <w:color w:val="595959"/>
          <w:sz w:val="19"/>
          <w:szCs w:val="19"/>
        </w:rPr>
        <w:t xml:space="preserve">本書は全項目版（全247項目・32ページ）の要点を抜粋したものです。重点管理項目（極高・高）の説明と、最重要課題である修正履歴の保存期間、残課題に絞っています。全項目の網羅一覧は全項目版を参照してください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リスクレベル別サマリ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50"/>
        <w:gridCol w:w="681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リスク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件数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主な内容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極高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 件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修正履歴の保存期間（365→31日）、生産完了チェックの解除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高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8 件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出荷時の得意先／ロット変更、ロット名省略、マスタ自動作成、原価計算方法、計画再承認、伝票自動発行の停止 ほか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F900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中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 件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発注承認上限、受注時マスタ登録、製番未引当て計画、不良率割戻し、端数処理 ほか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低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E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15 件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過納品ガード、日付自動セット、なりすまし防止、前月実績不可、表示・桁数・カレンダー等の環境設定 ほか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Yu Gothic" w:cs="Yu Gothic" w:eastAsia="Yu Gothic" w:hAnsi="Yu Gothic"/>
        </w:rPr>
        <w:t xml:space="preserve">2. 重点管理項目（極高・高）</w:t>
      </w:r>
    </w:p>
    <w:p>
      <w:pPr>
        <w:spacing w:after="12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監査時に説明が求められる項目です。リスクの要旨と現在の対応状況を簡潔にまとめています（詳細・経緯は全項目版を参照）。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100"/>
        <w:gridCol w:w="2720"/>
        <w:gridCol w:w="27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リスク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項目（変更内容）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リスクの要旨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対応状況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極高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各種修正履歴テーブルの保存期間（365日→31日／44テーブル一括）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履歴が1ヶ月で消去され、QMS省令の記録保管要件を満たさず改ざん有無を証明できない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夜間バックアップを全保管。自動CSV出力(#2835)へ履歴追加で恒久保存（第3章）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極高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生産実績の完了状況をチェックする（True→False）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生産未完了でも出荷可能となり、未検査品流出のリスク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分納出荷の運用上必要。システム外のリリース判定手順と教育で担保（要整備）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出荷実績で事前ロット引当ての変更を可能（False→True）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計画と異なるロットを出荷でき、トレーサビリティが狂う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変更履歴が残ることで担保。変更時の理由・承認の記録運用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出荷実績で得意先を変更可能（False→True）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誤出荷のリスク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出荷先を使用していないためFalseへ戻し済（完了）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ロット名必須でも受入／工程実績でロット名省略可（False→True）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ロット管理品でも番号省略でき追跡不能になる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ロット必須品は入力しないと進まないためFalseへ戻し済（完了）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テキスト読込時に各種マスターを自動作成（True→自動作成）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未承認の品目・取引先マスタが混入するリスク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初期登録依頼書の書面で事前承認する運用を確認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実績入力時に単価マスタがないときの処理（中断→追加する）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現場が未承認の単価マスタを作成でき、不適切な原価設定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経理（第三者）が購入金額をチェックしリスク管理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一度承認された計画の変更を可能（確認→変更可能）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承認済みの計画が自由に書き換えられる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変更後は再承認している（日程表発行プロセス）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実績単価計算方法＝移動平均へ変更（最終仕入→移動平均）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在庫評価額・製品原価の算出根拠が変わり財務に直結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検証実施済。検証実績を監査用に準備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6C0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高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AD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ガントチャートで計画変更時に伝票発行（True→False）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計画変更後に新しい指示書が自動で出ず誤製造のリスク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計画変更時に新しい指示書が発行される運用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最重要課題：修正履歴の保存期間と代替措置</w:t>
      </w:r>
    </w:p>
    <w:p>
      <w:pPr>
        <w:spacing w:after="120" w:before="0" w:line="276"/>
      </w:pPr>
      <w:r>
        <w:rPr>
          <w:rFonts w:ascii="Yu Gothic" w:cs="Yu Gothic" w:eastAsia="Yu Gothic" w:hAnsi="Yu Gothic"/>
          <w:sz w:val="21"/>
          <w:szCs w:val="21"/>
        </w:rPr>
        <w:t xml:space="preserve">最もリスクが高い設定は、各種修正履歴テーブルの保存期間を初期値365日から31日へ短縮している点です。そのままでは変更履歴が1ヶ月で消去され、QMS省令の記録保管要件を満たしません。以下を代替措置として実施・検討していま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現在のバックアップ運用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Yu Gothic" w:cs="Yu Gothic" w:eastAsia="Yu Gothic" w:hAnsi="Yu Gothic"/>
          <w:sz w:val="20"/>
          <w:szCs w:val="20"/>
        </w:rPr>
        <w:t xml:space="preserve">夜間バックアップ（毎日）をさくらのサーバー内で3日分保持。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Yu Gothic" w:cs="Yu Gothic" w:eastAsia="Yu Gothic" w:hAnsi="Yu Gothic"/>
          <w:sz w:val="20"/>
          <w:szCs w:val="20"/>
        </w:rPr>
        <w:t xml:space="preserve">NSYSのサーバー室へ毎日転送し、稼働開始（2025年9月）から現在まで全保管中。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Yu Gothic" w:cs="Yu Gothic" w:eastAsia="Yu Gothic" w:hAnsi="Yu Gothic"/>
          <w:sz w:val="20"/>
          <w:szCs w:val="20"/>
        </w:rPr>
        <w:t xml:space="preserve">適用設計の「バックアップ運用計画書」に明記。保管期間の上限は未設定。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履歴を恒久保存する手段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Yu Gothic" w:cs="Yu Gothic" w:eastAsia="Yu Gothic" w:hAnsi="Yu Gothic"/>
          <w:sz w:val="20"/>
          <w:szCs w:val="20"/>
        </w:rPr>
        <w:t xml:space="preserve">① 画面から手動でCSV／Excel書出し（31日経過前に月次で出力・保管）。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Yu Gothic" w:cs="Yu Gothic" w:eastAsia="Yu Gothic" w:hAnsi="Yu Gothic"/>
          <w:sz w:val="20"/>
          <w:szCs w:val="20"/>
        </w:rPr>
        <w:t xml:space="preserve">② 自動CSV出力（#2835）の対象に修正履歴テーブルを追加（推奨。手作業の漏れを防止）。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Yu Gothic" w:cs="Yu Gothic" w:eastAsia="Yu Gothic" w:hAnsi="Yu Gothic"/>
          <w:sz w:val="20"/>
          <w:szCs w:val="20"/>
        </w:rPr>
        <w:t xml:space="preserve">③ DBバックアップを月1回、外部媒体へコピーし規定期間（例15年）削除しない運用。</w:t>
      </w:r>
    </w:p>
    <w:p>
      <w:pPr>
        <w:spacing w:after="1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到達点：「履歴は性能維持のため31日で消去するが、代替措置として◯◯でログを◯年間外部保存しており、QMS省令の記録保管要件とデータインテグリティを満たす」と説明できる状態にすること。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残課題・今後の対応（ToDo）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0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項目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区分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対応の方向性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修正履歴を自動CSV出力(#2835)へ追加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ベンダー依頼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NSYSへ依頼し恒久保存を自動化（推奨）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DBバックアップの恒久保管期間を規定化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運用整備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保管期間（例15年）と削除禁止ルールを文書化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生産完了チェック解除の妥当性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要検証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システム外のリリース判定手順を整備・教育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事前ロット引当ての変更可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運用ルール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変更時の理由・承認の記録運用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マスタ自動作成（テキスト読込）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要承認運用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初期登録依頼書で事前承認を確認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受注入力中の売価マスタ登録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検討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Falseへの変更を検討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所要量計算の製番展開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要検証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OQで意図しない引き当てを確認。要否を日情へ確認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不良率割戻し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別途検討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東北EPで使用。運用に不適のため別途検討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数量端数＝切上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要検証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所要量計算テストで丸めを確認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ロット名省略可／得意先変更可／実績単価＝移動平均／計画再承認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E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548235"/>
                <w:sz w:val="18"/>
                <w:szCs w:val="18"/>
              </w:rPr>
              <w:t xml:space="preserve">完了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戻し済・検証済・運用確立（第2章参照）</w:t>
            </w:r>
          </w:p>
        </w:tc>
      </w:tr>
    </w:tbl>
    <w:p>
      <w:pPr>
        <w:spacing w:before="120"/>
      </w:pPr>
      <w:r>
        <w:rPr>
          <w:rFonts w:ascii="Yu Gothic" w:cs="Yu Gothic" w:eastAsia="Yu Gothic" w:hAnsi="Yu Gothic"/>
          <w:color w:val="808080"/>
          <w:sz w:val="18"/>
          <w:szCs w:val="18"/>
        </w:rPr>
        <w:t xml:space="preserve">※ メール認証パスワードは元データに平文記載があるため本書では扱いません。監査資料には認証情報を含めない運用を推奨します。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/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spacing w:after="0"/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TPiCS 設定変更・CSV対応資料【要点版】　|　株式会社タカハタ電子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40" w:before="220"/>
      <w:outlineLvl w:val="0"/>
    </w:pPr>
    <w:rPr>
      <w:rFonts w:ascii="Yu Gothic" w:cs="Yu Gothic" w:eastAsia="Yu Gothic" w:hAnsi="Yu Gothic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Yu Gothic" w:cs="Yu Gothic" w:eastAsia="Yu Gothic" w:hAnsi="Yu Gothic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2026-06-26T00:35:34.214Z</dcterms:created>
  <dcterms:modified xsi:type="dcterms:W3CDTF">2026-06-26T00:35:34.214Z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