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C33" w:rsidRDefault="0050044A">
      <w:pPr>
        <w:jc w:val="center"/>
        <w:rPr>
          <w:b/>
          <w:sz w:val="36"/>
          <w:szCs w:val="36"/>
        </w:rPr>
      </w:pPr>
      <w:r>
        <w:rPr>
          <w:b/>
          <w:sz w:val="36"/>
          <w:szCs w:val="36"/>
        </w:rPr>
        <w:t>High Resolution Mass Spectrometer</w:t>
      </w:r>
    </w:p>
    <w:p w:rsidR="00433C33" w:rsidRDefault="00321B9F">
      <w:bookmarkStart w:id="0" w:name="_GoBack"/>
      <w:bookmarkEnd w:id="0"/>
      <w:proofErr w:type="spellStart"/>
      <w:r>
        <w:rPr>
          <w:b/>
          <w:lang w:val="cs-CZ"/>
        </w:rPr>
        <w:t>Equipment</w:t>
      </w:r>
      <w:proofErr w:type="spellEnd"/>
      <w:r>
        <w:rPr>
          <w:b/>
          <w:lang w:val="cs-CZ"/>
        </w:rPr>
        <w:t xml:space="preserve">: </w:t>
      </w:r>
      <w:r w:rsidR="0050044A">
        <w:rPr>
          <w:b/>
          <w:lang w:val="cs-CZ"/>
        </w:rPr>
        <w:tab/>
      </w:r>
      <w:r w:rsidR="0050044A">
        <w:rPr>
          <w:b/>
          <w:lang w:val="cs-CZ"/>
        </w:rPr>
        <w:tab/>
      </w:r>
      <w:r w:rsidR="0050044A">
        <w:rPr>
          <w:b/>
          <w:lang w:val="cs-CZ"/>
        </w:rPr>
        <w:tab/>
      </w:r>
      <w:proofErr w:type="spellStart"/>
      <w:r w:rsidRPr="0050044A">
        <w:rPr>
          <w:lang w:val="cs-CZ"/>
        </w:rPr>
        <w:t>High</w:t>
      </w:r>
      <w:proofErr w:type="spellEnd"/>
      <w:r w:rsidR="0050044A">
        <w:rPr>
          <w:lang w:val="cs-CZ"/>
        </w:rPr>
        <w:t xml:space="preserve"> </w:t>
      </w:r>
      <w:proofErr w:type="spellStart"/>
      <w:r w:rsidRPr="0050044A">
        <w:rPr>
          <w:lang w:val="cs-CZ"/>
        </w:rPr>
        <w:t>Resolution</w:t>
      </w:r>
      <w:proofErr w:type="spellEnd"/>
      <w:r w:rsidR="0050044A">
        <w:rPr>
          <w:lang w:val="cs-CZ"/>
        </w:rPr>
        <w:t xml:space="preserve"> </w:t>
      </w:r>
      <w:proofErr w:type="spellStart"/>
      <w:r w:rsidRPr="0050044A">
        <w:rPr>
          <w:lang w:val="cs-CZ"/>
        </w:rPr>
        <w:t>Mass</w:t>
      </w:r>
      <w:proofErr w:type="spellEnd"/>
      <w:r w:rsidR="0050044A">
        <w:rPr>
          <w:lang w:val="cs-CZ"/>
        </w:rPr>
        <w:t xml:space="preserve"> </w:t>
      </w:r>
      <w:proofErr w:type="spellStart"/>
      <w:r w:rsidRPr="0050044A">
        <w:rPr>
          <w:lang w:val="cs-CZ"/>
        </w:rPr>
        <w:t>Spectrometer</w:t>
      </w:r>
      <w:proofErr w:type="spellEnd"/>
      <w:r w:rsidR="0050044A">
        <w:rPr>
          <w:lang w:val="cs-CZ"/>
        </w:rPr>
        <w:t xml:space="preserve"> </w:t>
      </w:r>
      <w:proofErr w:type="spellStart"/>
      <w:r w:rsidRPr="0050044A">
        <w:rPr>
          <w:lang w:val="cs-CZ"/>
        </w:rPr>
        <w:t>Bruker</w:t>
      </w:r>
      <w:proofErr w:type="spellEnd"/>
      <w:r w:rsidR="0050044A">
        <w:rPr>
          <w:lang w:val="cs-CZ"/>
        </w:rPr>
        <w:t xml:space="preserve"> </w:t>
      </w:r>
      <w:proofErr w:type="spellStart"/>
      <w:r w:rsidRPr="0050044A">
        <w:rPr>
          <w:lang w:val="cs-CZ"/>
        </w:rPr>
        <w:t>Compact</w:t>
      </w:r>
      <w:proofErr w:type="spellEnd"/>
    </w:p>
    <w:p w:rsidR="00433C33" w:rsidRDefault="00321B9F">
      <w:pPr>
        <w:rPr>
          <w:b/>
        </w:rPr>
      </w:pPr>
      <w:r>
        <w:rPr>
          <w:b/>
        </w:rPr>
        <w:t xml:space="preserve">No. of Equipment: </w:t>
      </w:r>
      <w:r w:rsidR="0050044A">
        <w:rPr>
          <w:b/>
        </w:rPr>
        <w:tab/>
      </w:r>
      <w:r w:rsidR="0050044A">
        <w:rPr>
          <w:b/>
        </w:rPr>
        <w:tab/>
      </w:r>
      <w:r w:rsidRPr="0050044A">
        <w:t>UJEP</w:t>
      </w:r>
      <w:r w:rsidR="00155E36" w:rsidRPr="0050044A">
        <w:t>35</w:t>
      </w:r>
    </w:p>
    <w:p w:rsidR="00433C33" w:rsidRDefault="00321B9F">
      <w:r>
        <w:rPr>
          <w:b/>
        </w:rPr>
        <w:t xml:space="preserve">Responsible coordinator: </w:t>
      </w:r>
      <w:r w:rsidR="0050044A">
        <w:rPr>
          <w:b/>
        </w:rPr>
        <w:tab/>
      </w:r>
      <w:r w:rsidRPr="0050044A">
        <w:t>Doc. Dr. Ing. Pavel Kuráň</w:t>
      </w:r>
    </w:p>
    <w:p w:rsidR="00433C33" w:rsidRDefault="00321B9F">
      <w:r>
        <w:rPr>
          <w:b/>
        </w:rPr>
        <w:t>Name of Institution:</w:t>
      </w:r>
      <w:r w:rsidR="0050044A">
        <w:rPr>
          <w:b/>
        </w:rPr>
        <w:tab/>
      </w:r>
      <w:r w:rsidR="0050044A">
        <w:rPr>
          <w:b/>
        </w:rPr>
        <w:tab/>
      </w:r>
      <w:r>
        <w:rPr>
          <w:b/>
        </w:rPr>
        <w:t xml:space="preserve"> </w:t>
      </w:r>
      <w:r w:rsidRPr="0050044A">
        <w:t xml:space="preserve">University of Jan Evangelista </w:t>
      </w:r>
      <w:proofErr w:type="spellStart"/>
      <w:r w:rsidRPr="0050044A">
        <w:t>Purkyně</w:t>
      </w:r>
      <w:proofErr w:type="spellEnd"/>
      <w:r w:rsidRPr="0050044A">
        <w:t>, Faculty of the Environment</w:t>
      </w:r>
    </w:p>
    <w:p w:rsidR="00433C33" w:rsidRDefault="00321B9F">
      <w:r>
        <w:rPr>
          <w:b/>
        </w:rPr>
        <w:t xml:space="preserve">Address of Institution: </w:t>
      </w:r>
      <w:r w:rsidR="0050044A">
        <w:rPr>
          <w:b/>
        </w:rPr>
        <w:tab/>
      </w:r>
      <w:r w:rsidR="0050044A">
        <w:rPr>
          <w:b/>
        </w:rPr>
        <w:tab/>
      </w:r>
      <w:proofErr w:type="spellStart"/>
      <w:r w:rsidRPr="0050044A">
        <w:t>Pasteurova</w:t>
      </w:r>
      <w:proofErr w:type="spellEnd"/>
      <w:r w:rsidRPr="0050044A">
        <w:t xml:space="preserve"> 3544/1, </w:t>
      </w:r>
      <w:proofErr w:type="spellStart"/>
      <w:r w:rsidRPr="0050044A">
        <w:t>Ústí</w:t>
      </w:r>
      <w:proofErr w:type="spellEnd"/>
      <w:r w:rsidR="0050044A" w:rsidRPr="0050044A">
        <w:t xml:space="preserve"> </w:t>
      </w:r>
      <w:proofErr w:type="spellStart"/>
      <w:r w:rsidRPr="0050044A">
        <w:t>nad</w:t>
      </w:r>
      <w:proofErr w:type="spellEnd"/>
      <w:r w:rsidRPr="0050044A">
        <w:t xml:space="preserve"> Labem, 40096</w:t>
      </w:r>
    </w:p>
    <w:p w:rsidR="00433C33" w:rsidRDefault="00321B9F">
      <w:r>
        <w:rPr>
          <w:b/>
        </w:rPr>
        <w:t xml:space="preserve">E-mail: </w:t>
      </w:r>
      <w:r w:rsidR="0050044A">
        <w:rPr>
          <w:b/>
        </w:rPr>
        <w:tab/>
      </w:r>
      <w:r w:rsidR="0050044A">
        <w:rPr>
          <w:b/>
        </w:rPr>
        <w:tab/>
      </w:r>
      <w:r w:rsidR="0050044A">
        <w:rPr>
          <w:b/>
        </w:rPr>
        <w:tab/>
      </w:r>
      <w:r w:rsidR="0050044A">
        <w:rPr>
          <w:b/>
        </w:rPr>
        <w:tab/>
      </w:r>
      <w:r w:rsidRPr="0050044A">
        <w:t>p.kuran@gmx.de</w:t>
      </w:r>
    </w:p>
    <w:p w:rsidR="00433C33" w:rsidRPr="0050044A" w:rsidRDefault="00321B9F">
      <w:r>
        <w:rPr>
          <w:b/>
        </w:rPr>
        <w:t xml:space="preserve">Telephone: </w:t>
      </w:r>
      <w:r w:rsidR="0050044A">
        <w:rPr>
          <w:b/>
        </w:rPr>
        <w:tab/>
      </w:r>
      <w:r w:rsidR="0050044A">
        <w:rPr>
          <w:b/>
        </w:rPr>
        <w:tab/>
      </w:r>
      <w:r w:rsidR="0050044A">
        <w:rPr>
          <w:b/>
        </w:rPr>
        <w:tab/>
      </w:r>
      <w:r w:rsidRPr="0050044A">
        <w:t>(+420) 607964365</w:t>
      </w:r>
    </w:p>
    <w:p w:rsidR="00433C33" w:rsidRDefault="00321B9F">
      <w:r>
        <w:rPr>
          <w:b/>
        </w:rPr>
        <w:t>Homepage:</w:t>
      </w:r>
      <w:r w:rsidR="0050044A">
        <w:rPr>
          <w:b/>
        </w:rPr>
        <w:tab/>
      </w:r>
      <w:r w:rsidR="0050044A">
        <w:rPr>
          <w:b/>
        </w:rPr>
        <w:tab/>
      </w:r>
      <w:r w:rsidR="0050044A">
        <w:rPr>
          <w:b/>
        </w:rPr>
        <w:tab/>
      </w:r>
      <w:r w:rsidRPr="0050044A">
        <w:t xml:space="preserve"> </w:t>
      </w:r>
      <w:r w:rsidR="0050044A">
        <w:t>www.</w:t>
      </w:r>
      <w:r w:rsidRPr="0050044A">
        <w:t>fzp.ujep.cz</w:t>
      </w:r>
    </w:p>
    <w:p w:rsidR="00433C33" w:rsidRDefault="00433C33">
      <w:pPr>
        <w:rPr>
          <w:b/>
        </w:rPr>
      </w:pPr>
    </w:p>
    <w:p w:rsidR="00433C33" w:rsidRDefault="00321B9F">
      <w:r>
        <w:rPr>
          <w:b/>
        </w:rPr>
        <w:t>Contact person:</w:t>
      </w:r>
      <w:r w:rsidR="0050044A">
        <w:rPr>
          <w:b/>
        </w:rPr>
        <w:tab/>
      </w:r>
      <w:r w:rsidR="0050044A">
        <w:rPr>
          <w:b/>
        </w:rPr>
        <w:tab/>
      </w:r>
      <w:r>
        <w:rPr>
          <w:b/>
        </w:rPr>
        <w:t xml:space="preserve"> </w:t>
      </w:r>
      <w:proofErr w:type="spellStart"/>
      <w:r w:rsidRPr="0050044A">
        <w:t>Ing</w:t>
      </w:r>
      <w:proofErr w:type="spellEnd"/>
      <w:r w:rsidRPr="0050044A">
        <w:t xml:space="preserve">. </w:t>
      </w:r>
      <w:proofErr w:type="spellStart"/>
      <w:r w:rsidRPr="0050044A">
        <w:t>Dominik</w:t>
      </w:r>
      <w:proofErr w:type="spellEnd"/>
      <w:r w:rsidRPr="0050044A">
        <w:t xml:space="preserve"> </w:t>
      </w:r>
      <w:proofErr w:type="spellStart"/>
      <w:r w:rsidRPr="0050044A">
        <w:t>Pilnaj</w:t>
      </w:r>
      <w:proofErr w:type="spellEnd"/>
    </w:p>
    <w:p w:rsidR="00433C33" w:rsidRDefault="00321B9F">
      <w:r>
        <w:rPr>
          <w:b/>
        </w:rPr>
        <w:t xml:space="preserve">E-mail: </w:t>
      </w:r>
      <w:r w:rsidR="0050044A">
        <w:rPr>
          <w:b/>
        </w:rPr>
        <w:tab/>
      </w:r>
      <w:r w:rsidR="0050044A">
        <w:rPr>
          <w:b/>
        </w:rPr>
        <w:tab/>
      </w:r>
      <w:r w:rsidR="0050044A">
        <w:rPr>
          <w:b/>
        </w:rPr>
        <w:tab/>
      </w:r>
      <w:r w:rsidR="0050044A">
        <w:rPr>
          <w:b/>
        </w:rPr>
        <w:tab/>
      </w:r>
      <w:r w:rsidRPr="0050044A">
        <w:t>dominik.pilnaj@ujep.cz</w:t>
      </w:r>
    </w:p>
    <w:p w:rsidR="00433C33" w:rsidRDefault="00321B9F">
      <w:r>
        <w:rPr>
          <w:b/>
        </w:rPr>
        <w:t>Telephone:</w:t>
      </w:r>
      <w:r w:rsidR="0050044A">
        <w:rPr>
          <w:b/>
        </w:rPr>
        <w:tab/>
      </w:r>
      <w:r w:rsidR="0050044A">
        <w:rPr>
          <w:b/>
        </w:rPr>
        <w:tab/>
      </w:r>
      <w:r w:rsidR="0050044A">
        <w:rPr>
          <w:b/>
        </w:rPr>
        <w:tab/>
      </w:r>
      <w:r w:rsidRPr="0050044A">
        <w:t xml:space="preserve"> +420 602 859 396</w:t>
      </w:r>
    </w:p>
    <w:p w:rsidR="00433C33" w:rsidRDefault="00433C33">
      <w:pPr>
        <w:rPr>
          <w:b/>
          <w:sz w:val="32"/>
          <w:szCs w:val="32"/>
        </w:rPr>
      </w:pPr>
    </w:p>
    <w:p w:rsidR="00433C33" w:rsidRDefault="00321B9F">
      <w:pPr>
        <w:rPr>
          <w:b/>
          <w:sz w:val="32"/>
          <w:szCs w:val="32"/>
        </w:rPr>
      </w:pPr>
      <w:r>
        <w:rPr>
          <w:b/>
          <w:sz w:val="32"/>
          <w:szCs w:val="32"/>
        </w:rPr>
        <w:t>Equipment Description</w:t>
      </w:r>
    </w:p>
    <w:p w:rsidR="00433C33" w:rsidRDefault="00321B9F">
      <w:pPr>
        <w:spacing w:after="0" w:line="240" w:lineRule="auto"/>
        <w:jc w:val="both"/>
        <w:rPr>
          <w:rFonts w:ascii="Calibri" w:hAnsi="Calibri" w:cs="Arial"/>
        </w:rPr>
      </w:pPr>
      <w:r>
        <w:rPr>
          <w:rFonts w:cs="Arial"/>
        </w:rPr>
        <w:t>High Resolution Mass Spectrometer Bruker Compact</w:t>
      </w:r>
    </w:p>
    <w:p w:rsidR="00433C33" w:rsidRDefault="00433C33">
      <w:pPr>
        <w:spacing w:after="0" w:line="240" w:lineRule="auto"/>
        <w:jc w:val="both"/>
        <w:rPr>
          <w:rFonts w:ascii="Calibri" w:hAnsi="Calibri" w:cs="Arial"/>
        </w:rPr>
      </w:pPr>
    </w:p>
    <w:p w:rsidR="00433C33" w:rsidRDefault="00321B9F">
      <w:pPr>
        <w:spacing w:after="0" w:line="240" w:lineRule="auto"/>
        <w:jc w:val="both"/>
        <w:rPr>
          <w:rFonts w:ascii="Calibri" w:hAnsi="Calibri" w:cs="Arial"/>
        </w:rPr>
      </w:pPr>
      <w:r>
        <w:rPr>
          <w:rFonts w:cs="Arial"/>
        </w:rPr>
        <w:t>Technical parameters:</w:t>
      </w:r>
    </w:p>
    <w:p w:rsidR="00433C33" w:rsidRDefault="00433C33">
      <w:pPr>
        <w:spacing w:after="0" w:line="240" w:lineRule="auto"/>
        <w:jc w:val="both"/>
        <w:rPr>
          <w:rFonts w:ascii="Calibri" w:hAnsi="Calibri" w:cs="Arial"/>
        </w:rPr>
      </w:pPr>
    </w:p>
    <w:p w:rsidR="00433C33" w:rsidRDefault="00321B9F">
      <w:pPr>
        <w:spacing w:after="0" w:line="240" w:lineRule="auto"/>
        <w:jc w:val="both"/>
      </w:pPr>
      <w:proofErr w:type="spellStart"/>
      <w:r>
        <w:rPr>
          <w:rFonts w:cs="Arial"/>
        </w:rPr>
        <w:t>qTOF</w:t>
      </w:r>
      <w:proofErr w:type="spellEnd"/>
      <w:r>
        <w:rPr>
          <w:rFonts w:cs="Arial"/>
        </w:rPr>
        <w:t xml:space="preserve"> system enables up to MS</w:t>
      </w:r>
      <w:r>
        <w:rPr>
          <w:rFonts w:cs="Arial"/>
          <w:vertAlign w:val="superscript"/>
        </w:rPr>
        <w:t>3</w:t>
      </w:r>
      <w:r>
        <w:rPr>
          <w:rFonts w:cs="Arial"/>
        </w:rPr>
        <w:t>.</w:t>
      </w:r>
    </w:p>
    <w:p w:rsidR="00433C33" w:rsidRDefault="00321B9F">
      <w:pPr>
        <w:spacing w:after="0" w:line="240" w:lineRule="auto"/>
        <w:jc w:val="both"/>
        <w:rPr>
          <w:rFonts w:ascii="Calibri" w:hAnsi="Calibri" w:cs="Arial"/>
        </w:rPr>
      </w:pPr>
      <w:r>
        <w:rPr>
          <w:rFonts w:cs="Arial"/>
        </w:rPr>
        <w:t xml:space="preserve">Resolution </w:t>
      </w:r>
      <w:proofErr w:type="spellStart"/>
      <w:r>
        <w:rPr>
          <w:rFonts w:cs="Arial"/>
        </w:rPr>
        <w:t>cca</w:t>
      </w:r>
      <w:proofErr w:type="spellEnd"/>
      <w:r>
        <w:rPr>
          <w:rFonts w:cs="Arial"/>
        </w:rPr>
        <w:t xml:space="preserve"> 20000.</w:t>
      </w:r>
    </w:p>
    <w:p w:rsidR="00433C33" w:rsidRDefault="00321B9F">
      <w:pPr>
        <w:spacing w:after="0" w:line="240" w:lineRule="auto"/>
        <w:jc w:val="both"/>
        <w:rPr>
          <w:rFonts w:ascii="Calibri" w:hAnsi="Calibri" w:cs="Arial"/>
        </w:rPr>
      </w:pPr>
      <w:r>
        <w:rPr>
          <w:rFonts w:cs="Arial"/>
        </w:rPr>
        <w:t>Mass accuracy cca</w:t>
      </w:r>
      <w:r w:rsidR="00277D89">
        <w:rPr>
          <w:rFonts w:cs="Arial"/>
        </w:rPr>
        <w:t>2-3</w:t>
      </w:r>
      <w:r>
        <w:rPr>
          <w:rFonts w:cs="Arial"/>
        </w:rPr>
        <w:t xml:space="preserve"> </w:t>
      </w:r>
      <w:proofErr w:type="spellStart"/>
      <w:r>
        <w:rPr>
          <w:rFonts w:cs="Arial"/>
        </w:rPr>
        <w:t>ppm</w:t>
      </w:r>
      <w:proofErr w:type="spellEnd"/>
      <w:r>
        <w:rPr>
          <w:rFonts w:cs="Arial"/>
        </w:rPr>
        <w:t>.</w:t>
      </w:r>
    </w:p>
    <w:p w:rsidR="00433C33" w:rsidRDefault="00321B9F">
      <w:pPr>
        <w:spacing w:after="0" w:line="240" w:lineRule="auto"/>
        <w:jc w:val="both"/>
      </w:pPr>
      <w:r>
        <w:rPr>
          <w:rFonts w:cs="Arial"/>
        </w:rPr>
        <w:t>Sample inlet and available ionization techniques – GC (S/SL, various column phases, APCI), HPLC (various stationary phases, APCI or ESI), Direct insertion probe (APCI).</w:t>
      </w:r>
    </w:p>
    <w:p w:rsidR="00433C33" w:rsidRDefault="00433C33">
      <w:pPr>
        <w:spacing w:after="0" w:line="240" w:lineRule="auto"/>
        <w:jc w:val="both"/>
        <w:rPr>
          <w:rFonts w:ascii="Calibri" w:hAnsi="Calibri" w:cs="Arial"/>
        </w:rPr>
      </w:pPr>
    </w:p>
    <w:p w:rsidR="00433C33" w:rsidRDefault="00433C33">
      <w:pPr>
        <w:spacing w:after="0" w:line="240" w:lineRule="auto"/>
        <w:jc w:val="both"/>
        <w:rPr>
          <w:rFonts w:ascii="Calibri" w:hAnsi="Calibri" w:cs="Arial"/>
        </w:rPr>
      </w:pPr>
    </w:p>
    <w:p w:rsidR="00433C33" w:rsidRDefault="00321B9F">
      <w:pPr>
        <w:spacing w:afterAutospacing="1"/>
        <w:rPr>
          <w:b/>
          <w:sz w:val="32"/>
          <w:szCs w:val="32"/>
        </w:rPr>
      </w:pPr>
      <w:r>
        <w:rPr>
          <w:b/>
          <w:sz w:val="32"/>
          <w:szCs w:val="32"/>
        </w:rPr>
        <w:t xml:space="preserve">Specification of expertise relevant to </w:t>
      </w:r>
      <w:proofErr w:type="spellStart"/>
      <w:r>
        <w:rPr>
          <w:b/>
          <w:sz w:val="32"/>
          <w:szCs w:val="32"/>
        </w:rPr>
        <w:t>NanoEnviCzworkpackages</w:t>
      </w:r>
      <w:proofErr w:type="spellEnd"/>
      <w:r>
        <w:rPr>
          <w:b/>
          <w:sz w:val="32"/>
          <w:szCs w:val="32"/>
        </w:rPr>
        <w:t>:</w:t>
      </w:r>
    </w:p>
    <w:p w:rsidR="00433C33" w:rsidRDefault="0050044A">
      <w:pPr>
        <w:spacing w:afterAutospacing="1"/>
      </w:pPr>
      <w:r w:rsidRPr="0050044A">
        <w:rPr>
          <w:b/>
        </w:rPr>
        <w:t xml:space="preserve">WP3 </w:t>
      </w:r>
      <w:proofErr w:type="spellStart"/>
      <w:r>
        <w:t>a</w:t>
      </w:r>
      <w:proofErr w:type="gramStart"/>
      <w:r>
        <w:t>,h</w:t>
      </w:r>
      <w:proofErr w:type="spellEnd"/>
      <w:proofErr w:type="gramEnd"/>
      <w:r>
        <w:t xml:space="preserve">, </w:t>
      </w:r>
      <w:r w:rsidRPr="0050044A">
        <w:rPr>
          <w:b/>
        </w:rPr>
        <w:t>WP4</w:t>
      </w:r>
      <w:r>
        <w:t xml:space="preserve"> a-c, </w:t>
      </w:r>
      <w:r w:rsidRPr="0050044A">
        <w:rPr>
          <w:b/>
        </w:rPr>
        <w:t>WP5</w:t>
      </w:r>
      <w:r>
        <w:t xml:space="preserve"> a-c, </w:t>
      </w:r>
      <w:r w:rsidRPr="0050044A">
        <w:rPr>
          <w:b/>
        </w:rPr>
        <w:t>WP6</w:t>
      </w:r>
      <w:r>
        <w:t xml:space="preserve"> a, b, d, </w:t>
      </w:r>
      <w:r w:rsidRPr="0050044A">
        <w:rPr>
          <w:b/>
        </w:rPr>
        <w:t>WP7</w:t>
      </w:r>
      <w:r>
        <w:t xml:space="preserve"> a-e, h, </w:t>
      </w:r>
      <w:r w:rsidRPr="0050044A">
        <w:rPr>
          <w:b/>
        </w:rPr>
        <w:t>WP9</w:t>
      </w:r>
      <w:r>
        <w:t xml:space="preserve"> a, b</w:t>
      </w:r>
    </w:p>
    <w:p w:rsidR="00433C33" w:rsidRDefault="00433C33">
      <w:pPr>
        <w:rPr>
          <w:sz w:val="36"/>
          <w:szCs w:val="36"/>
        </w:rPr>
      </w:pPr>
    </w:p>
    <w:p w:rsidR="00433C33" w:rsidRDefault="00321B9F">
      <w:pPr>
        <w:rPr>
          <w:b/>
          <w:sz w:val="32"/>
          <w:szCs w:val="32"/>
        </w:rPr>
      </w:pPr>
      <w:r>
        <w:rPr>
          <w:b/>
          <w:sz w:val="32"/>
          <w:szCs w:val="32"/>
        </w:rPr>
        <w:lastRenderedPageBreak/>
        <w:t xml:space="preserve">Detailed description of expertise </w:t>
      </w:r>
    </w:p>
    <w:p w:rsidR="00433C33" w:rsidRDefault="00321B9F">
      <w:r>
        <w:rPr>
          <w:b/>
        </w:rPr>
        <w:t>Please, specify the main research topics connected with equipment</w:t>
      </w:r>
      <w:r>
        <w:t>:</w:t>
      </w:r>
    </w:p>
    <w:p w:rsidR="00277D89" w:rsidRDefault="00277D89">
      <w:r>
        <w:t>GC/LC-HRMS Bruker Compact enables qualitative and qualitative analyses for wide range of compounds due to the variable sample input and separation and ionization techniques. It is applicable for determination polar or nonpolar compounds like degradation or synthesis products, extracts of environmental samples, etc. with sufficient volatility or solubility.</w:t>
      </w:r>
    </w:p>
    <w:p w:rsidR="00433C33" w:rsidRDefault="00433C33">
      <w:pPr>
        <w:rPr>
          <w:b/>
        </w:rPr>
      </w:pPr>
    </w:p>
    <w:p w:rsidR="00433C33" w:rsidRDefault="00321B9F">
      <w:r>
        <w:rPr>
          <w:b/>
        </w:rPr>
        <w:t>Please, specify the secondary research topics connected with equipment</w:t>
      </w:r>
      <w:r>
        <w:t xml:space="preserve">: </w:t>
      </w:r>
    </w:p>
    <w:p w:rsidR="00433C33" w:rsidRDefault="002F4C57">
      <w:r>
        <w:t>Analyses of technological flows, pyrolysis oils, degradation or sorption kinetics and capacity, etc.</w:t>
      </w:r>
    </w:p>
    <w:p w:rsidR="00433C33" w:rsidRDefault="00321B9F">
      <w:pPr>
        <w:rPr>
          <w:b/>
        </w:rPr>
      </w:pPr>
      <w:r>
        <w:rPr>
          <w:b/>
        </w:rPr>
        <w:t>Keywords describing research area:</w:t>
      </w:r>
    </w:p>
    <w:p w:rsidR="00433C33" w:rsidRPr="00FC5F4D" w:rsidRDefault="002F4C57">
      <w:r w:rsidRPr="00FC5F4D">
        <w:t>GC, LC, the Environment, HRMS-</w:t>
      </w:r>
      <w:proofErr w:type="spellStart"/>
      <w:r w:rsidRPr="00FC5F4D">
        <w:t>qTOF</w:t>
      </w:r>
      <w:proofErr w:type="spellEnd"/>
    </w:p>
    <w:p w:rsidR="00433C33" w:rsidRDefault="0050044A">
      <w:pPr>
        <w:rPr>
          <w:b/>
          <w:sz w:val="32"/>
          <w:szCs w:val="32"/>
        </w:rPr>
      </w:pPr>
      <w:r>
        <w:rPr>
          <w:b/>
          <w:sz w:val="32"/>
          <w:szCs w:val="32"/>
        </w:rPr>
        <w:br/>
      </w:r>
      <w:r w:rsidR="00321B9F">
        <w:rPr>
          <w:b/>
          <w:sz w:val="32"/>
          <w:szCs w:val="32"/>
        </w:rPr>
        <w:t>Competence</w:t>
      </w:r>
    </w:p>
    <w:p w:rsidR="00433C33" w:rsidRDefault="00321B9F">
      <w:pPr>
        <w:rPr>
          <w:b/>
        </w:rPr>
      </w:pPr>
      <w:r>
        <w:rPr>
          <w:b/>
        </w:rPr>
        <w:t>Relevance for applied and industrial research:</w:t>
      </w:r>
    </w:p>
    <w:p w:rsidR="00433C33" w:rsidRPr="003113CB" w:rsidRDefault="003113CB">
      <w:r>
        <w:t xml:space="preserve">Experiences with analysis of chlorinated alkanes and alkenes, esters of phospholipids and chelating agents, </w:t>
      </w:r>
      <w:r w:rsidR="005242A5">
        <w:t>degradation products of pesticides etc.</w:t>
      </w:r>
    </w:p>
    <w:p w:rsidR="00433C33" w:rsidRDefault="00321B9F">
      <w:pPr>
        <w:rPr>
          <w:b/>
        </w:rPr>
      </w:pPr>
      <w:r>
        <w:rPr>
          <w:b/>
        </w:rPr>
        <w:t>Relevance for fundamental studies:</w:t>
      </w:r>
    </w:p>
    <w:p w:rsidR="00433C33" w:rsidRPr="0050044A" w:rsidRDefault="005242A5">
      <w:r>
        <w:t>Characterization of sorption kinetics or</w:t>
      </w:r>
      <w:r w:rsidR="00FC5F4D">
        <w:t xml:space="preserve"> capacity, identification of synthesis </w:t>
      </w:r>
      <w:proofErr w:type="gramStart"/>
      <w:r w:rsidR="00FC5F4D">
        <w:t>products, …</w:t>
      </w:r>
      <w:proofErr w:type="gramEnd"/>
    </w:p>
    <w:p w:rsidR="00433C33" w:rsidRDefault="00433C33"/>
    <w:sectPr w:rsidR="00433C33" w:rsidSect="00070B96">
      <w:pgSz w:w="12240" w:h="15840"/>
      <w:pgMar w:top="1440" w:right="1440" w:bottom="1440" w:left="1440" w:header="0" w:footer="0" w:gutter="0"/>
      <w:cols w:space="708"/>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433C33"/>
    <w:rsid w:val="00070B96"/>
    <w:rsid w:val="00155E36"/>
    <w:rsid w:val="00277D89"/>
    <w:rsid w:val="002F4C57"/>
    <w:rsid w:val="003113CB"/>
    <w:rsid w:val="00321B9F"/>
    <w:rsid w:val="00433C33"/>
    <w:rsid w:val="0050044A"/>
    <w:rsid w:val="005242A5"/>
    <w:rsid w:val="007E2395"/>
    <w:rsid w:val="00FC5F4D"/>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70B96"/>
    <w:pPr>
      <w:spacing w:after="200" w:line="27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TextbublinyChar">
    <w:name w:val="Text bubliny Char"/>
    <w:basedOn w:val="Standardnpsmoodstavce"/>
    <w:link w:val="Textbubliny"/>
    <w:uiPriority w:val="99"/>
    <w:semiHidden/>
    <w:qFormat/>
    <w:rsid w:val="005305F6"/>
    <w:rPr>
      <w:rFonts w:ascii="Tahoma" w:hAnsi="Tahoma" w:cs="Tahoma"/>
      <w:sz w:val="16"/>
      <w:szCs w:val="16"/>
    </w:rPr>
  </w:style>
  <w:style w:type="character" w:customStyle="1" w:styleId="Internetovodkaz">
    <w:name w:val="Internetový odkaz"/>
    <w:basedOn w:val="Standardnpsmoodstavce"/>
    <w:uiPriority w:val="99"/>
    <w:semiHidden/>
    <w:unhideWhenUsed/>
    <w:rsid w:val="00073239"/>
    <w:rPr>
      <w:color w:val="0000FF"/>
      <w:u w:val="single"/>
    </w:rPr>
  </w:style>
  <w:style w:type="character" w:customStyle="1" w:styleId="ListLabel1">
    <w:name w:val="ListLabel 1"/>
    <w:qFormat/>
    <w:rsid w:val="00070B96"/>
    <w:rPr>
      <w:rFonts w:cs="Courier New"/>
    </w:rPr>
  </w:style>
  <w:style w:type="character" w:customStyle="1" w:styleId="ListLabel2">
    <w:name w:val="ListLabel 2"/>
    <w:qFormat/>
    <w:rsid w:val="00070B96"/>
    <w:rPr>
      <w:rFonts w:cs="Courier New"/>
    </w:rPr>
  </w:style>
  <w:style w:type="character" w:customStyle="1" w:styleId="ListLabel3">
    <w:name w:val="ListLabel 3"/>
    <w:qFormat/>
    <w:rsid w:val="00070B96"/>
    <w:rPr>
      <w:rFonts w:cs="Courier New"/>
    </w:rPr>
  </w:style>
  <w:style w:type="character" w:customStyle="1" w:styleId="ListLabel4">
    <w:name w:val="ListLabel 4"/>
    <w:qFormat/>
    <w:rsid w:val="00070B96"/>
    <w:rPr>
      <w:rFonts w:cs="Courier New"/>
    </w:rPr>
  </w:style>
  <w:style w:type="paragraph" w:customStyle="1" w:styleId="Nadpis">
    <w:name w:val="Nadpis"/>
    <w:basedOn w:val="Normln"/>
    <w:next w:val="Zkladntext"/>
    <w:qFormat/>
    <w:rsid w:val="00070B96"/>
    <w:pPr>
      <w:keepNext/>
      <w:spacing w:before="240" w:after="120"/>
    </w:pPr>
    <w:rPr>
      <w:rFonts w:ascii="Liberation Sans" w:eastAsia="Noto Sans CJK SC" w:hAnsi="Liberation Sans" w:cs="Lohit Devanagari"/>
      <w:sz w:val="28"/>
      <w:szCs w:val="28"/>
    </w:rPr>
  </w:style>
  <w:style w:type="paragraph" w:styleId="Zkladntext">
    <w:name w:val="Body Text"/>
    <w:basedOn w:val="Normln"/>
    <w:rsid w:val="00070B96"/>
    <w:pPr>
      <w:spacing w:after="140"/>
    </w:pPr>
  </w:style>
  <w:style w:type="paragraph" w:styleId="Seznam">
    <w:name w:val="List"/>
    <w:basedOn w:val="Zkladntext"/>
    <w:rsid w:val="00070B96"/>
    <w:rPr>
      <w:rFonts w:cs="Lohit Devanagari"/>
    </w:rPr>
  </w:style>
  <w:style w:type="paragraph" w:styleId="Titulek">
    <w:name w:val="caption"/>
    <w:basedOn w:val="Normln"/>
    <w:qFormat/>
    <w:rsid w:val="00070B96"/>
    <w:pPr>
      <w:suppressLineNumbers/>
      <w:spacing w:before="120" w:after="120"/>
    </w:pPr>
    <w:rPr>
      <w:rFonts w:cs="Lohit Devanagari"/>
      <w:i/>
      <w:iCs/>
      <w:sz w:val="24"/>
      <w:szCs w:val="24"/>
    </w:rPr>
  </w:style>
  <w:style w:type="paragraph" w:customStyle="1" w:styleId="Rejstk">
    <w:name w:val="Rejstřík"/>
    <w:basedOn w:val="Normln"/>
    <w:qFormat/>
    <w:rsid w:val="00070B96"/>
    <w:pPr>
      <w:suppressLineNumbers/>
    </w:pPr>
    <w:rPr>
      <w:rFonts w:cs="Lohit Devanagari"/>
    </w:rPr>
  </w:style>
  <w:style w:type="paragraph" w:styleId="Textbubliny">
    <w:name w:val="Balloon Text"/>
    <w:basedOn w:val="Normln"/>
    <w:link w:val="TextbublinyChar"/>
    <w:uiPriority w:val="99"/>
    <w:semiHidden/>
    <w:unhideWhenUsed/>
    <w:qFormat/>
    <w:rsid w:val="005305F6"/>
    <w:pPr>
      <w:spacing w:after="0" w:line="240" w:lineRule="auto"/>
    </w:pPr>
    <w:rPr>
      <w:rFonts w:ascii="Tahoma" w:hAnsi="Tahoma" w:cs="Tahoma"/>
      <w:sz w:val="16"/>
      <w:szCs w:val="16"/>
    </w:rPr>
  </w:style>
  <w:style w:type="table" w:styleId="Mkatabulky">
    <w:name w:val="Table Grid"/>
    <w:basedOn w:val="Normlntabulka"/>
    <w:uiPriority w:val="39"/>
    <w:rsid w:val="00A66F2F"/>
    <w:rPr>
      <w:lang w:val="cs-C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44F49-8AB8-4141-B00A-10BB056E7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294</Words>
  <Characters>1741</Characters>
  <Application>Microsoft Office Word</Application>
  <DocSecurity>0</DocSecurity>
  <Lines>14</Lines>
  <Paragraphs>4</Paragraphs>
  <ScaleCrop>false</ScaleCrop>
  <HeadingPairs>
    <vt:vector size="2" baseType="variant">
      <vt:variant>
        <vt:lpstr>Název</vt:lpstr>
      </vt:variant>
      <vt:variant>
        <vt:i4>1</vt:i4>
      </vt:variant>
    </vt:vector>
  </HeadingPairs>
  <TitlesOfParts>
    <vt:vector size="1" baseType="lpstr">
      <vt:lpstr/>
    </vt:vector>
  </TitlesOfParts>
  <Company>Univerzita Palackého v Olomouci</Company>
  <LinksUpToDate>false</LinksUpToDate>
  <CharactersWithSpaces>2031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Katerina Minhova Macounova</dc:creator>
  <cp:lastModifiedBy>Terez</cp:lastModifiedBy>
  <cp:revision>2</cp:revision>
  <cp:lastPrinted>2016-02-04T12:24:00Z</cp:lastPrinted>
  <dcterms:created xsi:type="dcterms:W3CDTF">2020-02-13T15:56:00Z</dcterms:created>
  <dcterms:modified xsi:type="dcterms:W3CDTF">2020-02-13T15:56:00Z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Univerzita Palackého v Olomouci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