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2F" w:rsidRDefault="00A66F2F" w:rsidP="00A66F2F">
      <w:r w:rsidRPr="00E26270">
        <w:rPr>
          <w:b/>
          <w:lang w:val="cs-CZ"/>
        </w:rPr>
        <w:t>Equipment:</w:t>
      </w:r>
      <w:r w:rsidR="00141189" w:rsidRPr="00E26270">
        <w:rPr>
          <w:b/>
          <w:lang w:val="cs-CZ"/>
        </w:rPr>
        <w:t xml:space="preserve"> </w:t>
      </w:r>
      <w:r w:rsidR="0090750B" w:rsidRPr="00E26270">
        <w:rPr>
          <w:b/>
          <w:lang w:val="cs-CZ"/>
        </w:rPr>
        <w:t xml:space="preserve"> </w:t>
      </w:r>
      <w:r w:rsidR="0090750B" w:rsidRPr="00E26270">
        <w:t>Microarray printer</w:t>
      </w:r>
    </w:p>
    <w:p w:rsidR="00AD1F65" w:rsidRPr="00E26270" w:rsidRDefault="00AD1F65" w:rsidP="00A66F2F">
      <w:pPr>
        <w:rPr>
          <w:b/>
          <w:lang w:val="cs-CZ"/>
        </w:rPr>
      </w:pPr>
      <w:r w:rsidRPr="00671C85">
        <w:rPr>
          <w:b/>
        </w:rPr>
        <w:t>No. of Equipment:</w:t>
      </w:r>
      <w:r>
        <w:rPr>
          <w:b/>
        </w:rPr>
        <w:t xml:space="preserve"> UJEP 26</w:t>
      </w:r>
    </w:p>
    <w:p w:rsidR="00A66F2F" w:rsidRDefault="00A66F2F" w:rsidP="00A66F2F">
      <w:r w:rsidRPr="00E26270">
        <w:rPr>
          <w:b/>
        </w:rPr>
        <w:t>Responsible coordinator:</w:t>
      </w:r>
      <w:r w:rsidR="00141189" w:rsidRPr="00E26270">
        <w:rPr>
          <w:b/>
        </w:rPr>
        <w:t xml:space="preserve"> </w:t>
      </w:r>
      <w:r w:rsidR="0090750B" w:rsidRPr="00E26270">
        <w:t xml:space="preserve"> </w:t>
      </w:r>
      <w:r w:rsidR="00C81BBC" w:rsidRPr="00E26270">
        <w:t xml:space="preserve">Mgr. Jan </w:t>
      </w:r>
      <w:proofErr w:type="spellStart"/>
      <w:r w:rsidR="00C81BBC" w:rsidRPr="00E26270">
        <w:t>Malý</w:t>
      </w:r>
      <w:proofErr w:type="spellEnd"/>
      <w:r w:rsidR="00C81BBC" w:rsidRPr="00E26270">
        <w:t>, Ph.D.</w:t>
      </w:r>
    </w:p>
    <w:p w:rsidR="00A66F2F" w:rsidRPr="00E26270" w:rsidRDefault="002A071C" w:rsidP="00A66F2F">
      <w:pPr>
        <w:rPr>
          <w:b/>
        </w:rPr>
      </w:pPr>
      <w:r w:rsidRPr="00E26270">
        <w:rPr>
          <w:b/>
        </w:rPr>
        <w:t xml:space="preserve">Name of </w:t>
      </w:r>
      <w:r w:rsidR="00A66F2F" w:rsidRPr="00E26270">
        <w:rPr>
          <w:b/>
        </w:rPr>
        <w:t>Institution:</w:t>
      </w:r>
      <w:r w:rsidR="00141189" w:rsidRPr="00E26270">
        <w:rPr>
          <w:b/>
        </w:rPr>
        <w:t xml:space="preserve"> </w:t>
      </w:r>
      <w:r w:rsidR="00687B44" w:rsidRPr="00E26270">
        <w:rPr>
          <w:bCs/>
          <w:lang w:val="en-GB"/>
        </w:rPr>
        <w:t xml:space="preserve">University of </w:t>
      </w:r>
      <w:proofErr w:type="spellStart"/>
      <w:r w:rsidR="00687B44" w:rsidRPr="00E26270">
        <w:rPr>
          <w:bCs/>
          <w:lang w:val="en-GB"/>
        </w:rPr>
        <w:t>J.E.Purkinje</w:t>
      </w:r>
      <w:proofErr w:type="spellEnd"/>
      <w:r w:rsidR="00687B44" w:rsidRPr="00E26270">
        <w:rPr>
          <w:bCs/>
          <w:lang w:val="en-GB"/>
        </w:rPr>
        <w:t xml:space="preserve"> in </w:t>
      </w:r>
      <w:proofErr w:type="spellStart"/>
      <w:r w:rsidR="00687B44" w:rsidRPr="00E26270">
        <w:rPr>
          <w:bCs/>
          <w:lang w:val="en-GB"/>
        </w:rPr>
        <w:t>Ústí</w:t>
      </w:r>
      <w:proofErr w:type="spellEnd"/>
      <w:r w:rsidR="00687B44" w:rsidRPr="00E26270">
        <w:rPr>
          <w:bCs/>
          <w:lang w:val="en-GB"/>
        </w:rPr>
        <w:t xml:space="preserve"> </w:t>
      </w:r>
      <w:proofErr w:type="spellStart"/>
      <w:r w:rsidR="00687B44" w:rsidRPr="00E26270">
        <w:rPr>
          <w:bCs/>
          <w:lang w:val="en-GB"/>
        </w:rPr>
        <w:t>nad</w:t>
      </w:r>
      <w:proofErr w:type="spellEnd"/>
      <w:r w:rsidR="00687B44" w:rsidRPr="00E26270">
        <w:rPr>
          <w:bCs/>
          <w:lang w:val="en-GB"/>
        </w:rPr>
        <w:t xml:space="preserve"> Labem, Faculty of Science, Department of Biology</w:t>
      </w:r>
    </w:p>
    <w:p w:rsidR="0009683E" w:rsidRPr="00E26270" w:rsidRDefault="002A071C" w:rsidP="0009683E">
      <w:pPr>
        <w:spacing w:before="120" w:after="120"/>
        <w:rPr>
          <w:rFonts w:cs="Arial"/>
          <w:lang w:val="en-GB"/>
        </w:rPr>
      </w:pPr>
      <w:r w:rsidRPr="00E26270">
        <w:rPr>
          <w:b/>
        </w:rPr>
        <w:t>Address of Institution:</w:t>
      </w:r>
      <w:r w:rsidR="0009683E" w:rsidRPr="00E26270">
        <w:rPr>
          <w:b/>
        </w:rPr>
        <w:t xml:space="preserve"> </w:t>
      </w:r>
      <w:proofErr w:type="spellStart"/>
      <w:r w:rsidR="00C81BBC" w:rsidRPr="00E26270">
        <w:rPr>
          <w:rFonts w:cs="Arial"/>
          <w:lang w:val="en-GB"/>
        </w:rPr>
        <w:t>České</w:t>
      </w:r>
      <w:proofErr w:type="spellEnd"/>
      <w:r w:rsidR="00C81BBC" w:rsidRPr="00E26270">
        <w:rPr>
          <w:rFonts w:cs="Arial"/>
          <w:lang w:val="en-GB"/>
        </w:rPr>
        <w:t xml:space="preserve"> </w:t>
      </w:r>
      <w:proofErr w:type="spellStart"/>
      <w:r w:rsidR="00C81BBC" w:rsidRPr="00E26270">
        <w:rPr>
          <w:rFonts w:cs="Arial"/>
          <w:lang w:val="en-GB"/>
        </w:rPr>
        <w:t>mládeže</w:t>
      </w:r>
      <w:proofErr w:type="spellEnd"/>
      <w:r w:rsidR="00C81BBC" w:rsidRPr="00E26270">
        <w:rPr>
          <w:rFonts w:cs="Arial"/>
          <w:lang w:val="en-GB"/>
        </w:rPr>
        <w:t xml:space="preserve"> 8, 40096 </w:t>
      </w:r>
      <w:proofErr w:type="spellStart"/>
      <w:r w:rsidR="00C81BBC" w:rsidRPr="00E26270">
        <w:rPr>
          <w:rFonts w:cs="Arial"/>
          <w:lang w:val="en-GB"/>
        </w:rPr>
        <w:t>Ústí</w:t>
      </w:r>
      <w:proofErr w:type="spellEnd"/>
      <w:r w:rsidR="00C81BBC" w:rsidRPr="00E26270">
        <w:rPr>
          <w:rFonts w:cs="Arial"/>
          <w:lang w:val="en-GB"/>
        </w:rPr>
        <w:t xml:space="preserve"> </w:t>
      </w:r>
      <w:proofErr w:type="spellStart"/>
      <w:r w:rsidR="00C81BBC" w:rsidRPr="00E26270">
        <w:rPr>
          <w:rFonts w:cs="Arial"/>
          <w:lang w:val="en-GB"/>
        </w:rPr>
        <w:t>nad</w:t>
      </w:r>
      <w:proofErr w:type="spellEnd"/>
      <w:r w:rsidR="00C81BBC" w:rsidRPr="00E26270">
        <w:rPr>
          <w:rFonts w:cs="Arial"/>
          <w:lang w:val="en-GB"/>
        </w:rPr>
        <w:t xml:space="preserve"> Labem</w:t>
      </w:r>
    </w:p>
    <w:p w:rsidR="0009683E" w:rsidRPr="00E26270" w:rsidRDefault="002A071C" w:rsidP="0009683E">
      <w:pPr>
        <w:spacing w:before="120" w:after="120"/>
        <w:rPr>
          <w:lang w:val="en-GB"/>
        </w:rPr>
      </w:pPr>
      <w:r w:rsidRPr="00E26270">
        <w:rPr>
          <w:b/>
        </w:rPr>
        <w:t>E-mail:</w:t>
      </w:r>
      <w:r w:rsidR="0009683E" w:rsidRPr="00E26270">
        <w:rPr>
          <w:b/>
        </w:rPr>
        <w:t xml:space="preserve"> </w:t>
      </w:r>
      <w:r w:rsidR="00C81BBC" w:rsidRPr="00E26270">
        <w:rPr>
          <w:lang w:val="en-GB"/>
        </w:rPr>
        <w:t>malyjalga@seznam.cz</w:t>
      </w:r>
    </w:p>
    <w:p w:rsidR="00A66F2F" w:rsidRPr="00E26270" w:rsidRDefault="00A66F2F" w:rsidP="00A66F2F">
      <w:pPr>
        <w:rPr>
          <w:b/>
        </w:rPr>
      </w:pPr>
      <w:r w:rsidRPr="00E26270">
        <w:rPr>
          <w:b/>
        </w:rPr>
        <w:t>Telephone:</w:t>
      </w:r>
      <w:r w:rsidR="0009683E" w:rsidRPr="00E26270">
        <w:rPr>
          <w:b/>
        </w:rPr>
        <w:t xml:space="preserve"> </w:t>
      </w:r>
      <w:r w:rsidR="0009683E" w:rsidRPr="00E26270">
        <w:rPr>
          <w:lang w:val="en-GB"/>
        </w:rPr>
        <w:t xml:space="preserve">+420 </w:t>
      </w:r>
      <w:r w:rsidR="00687B44" w:rsidRPr="00E26270">
        <w:rPr>
          <w:lang w:val="en-GB"/>
        </w:rPr>
        <w:t>475283376</w:t>
      </w:r>
    </w:p>
    <w:p w:rsidR="0009683E" w:rsidRPr="00E26270" w:rsidRDefault="005A1001" w:rsidP="0009683E">
      <w:pPr>
        <w:spacing w:before="120" w:after="120"/>
        <w:rPr>
          <w:lang w:val="en-GB"/>
        </w:rPr>
      </w:pPr>
      <w:r w:rsidRPr="00E26270">
        <w:rPr>
          <w:b/>
        </w:rPr>
        <w:t>Homepage:</w:t>
      </w:r>
      <w:r w:rsidR="0009683E" w:rsidRPr="00E26270">
        <w:rPr>
          <w:b/>
        </w:rPr>
        <w:t xml:space="preserve"> </w:t>
      </w:r>
      <w:r w:rsidR="0009683E" w:rsidRPr="00E26270">
        <w:rPr>
          <w:lang w:val="en-GB"/>
        </w:rPr>
        <w:t>http://www.</w:t>
      </w:r>
      <w:r w:rsidR="00687B44" w:rsidRPr="00E26270">
        <w:rPr>
          <w:lang w:val="en-GB"/>
        </w:rPr>
        <w:t>ujep.cz</w:t>
      </w:r>
    </w:p>
    <w:p w:rsidR="00671C85" w:rsidRPr="00E26270" w:rsidRDefault="00671C85" w:rsidP="00A66F2F">
      <w:pPr>
        <w:rPr>
          <w:b/>
        </w:rPr>
      </w:pPr>
    </w:p>
    <w:p w:rsidR="0086289B" w:rsidRPr="00E26270" w:rsidRDefault="0086289B" w:rsidP="00A66F2F">
      <w:pPr>
        <w:rPr>
          <w:b/>
        </w:rPr>
      </w:pPr>
      <w:r w:rsidRPr="00E26270">
        <w:rPr>
          <w:b/>
        </w:rPr>
        <w:t>Contact person:</w:t>
      </w:r>
      <w:r w:rsidR="0009683E" w:rsidRPr="00E26270">
        <w:rPr>
          <w:b/>
        </w:rPr>
        <w:t xml:space="preserve"> </w:t>
      </w:r>
      <w:r w:rsidR="0090750B" w:rsidRPr="00E26270">
        <w:t xml:space="preserve">Mgr. Jan </w:t>
      </w:r>
      <w:proofErr w:type="spellStart"/>
      <w:r w:rsidR="0090750B" w:rsidRPr="00E26270">
        <w:t>Malý</w:t>
      </w:r>
      <w:proofErr w:type="spellEnd"/>
      <w:r w:rsidR="0090750B" w:rsidRPr="00E26270">
        <w:t>, Ph.D.</w:t>
      </w:r>
    </w:p>
    <w:p w:rsidR="0086289B" w:rsidRPr="00E26270" w:rsidRDefault="0086289B" w:rsidP="0009683E">
      <w:pPr>
        <w:spacing w:before="120" w:after="120"/>
        <w:rPr>
          <w:lang w:val="en-GB"/>
        </w:rPr>
      </w:pPr>
      <w:r w:rsidRPr="00E26270">
        <w:rPr>
          <w:b/>
        </w:rPr>
        <w:t>E-mail:</w:t>
      </w:r>
      <w:r w:rsidR="0009683E" w:rsidRPr="00E26270">
        <w:rPr>
          <w:b/>
        </w:rPr>
        <w:t xml:space="preserve"> </w:t>
      </w:r>
      <w:r w:rsidR="0090750B" w:rsidRPr="00E26270">
        <w:rPr>
          <w:lang w:val="en-GB"/>
        </w:rPr>
        <w:t>malyjalga@seznam.cz</w:t>
      </w:r>
    </w:p>
    <w:p w:rsidR="0009683E" w:rsidRPr="00396353" w:rsidRDefault="0086289B" w:rsidP="0009683E">
      <w:pPr>
        <w:rPr>
          <w:b/>
        </w:rPr>
      </w:pPr>
      <w:r w:rsidRPr="00E26270">
        <w:rPr>
          <w:b/>
        </w:rPr>
        <w:t>Telephon</w:t>
      </w:r>
      <w:r w:rsidR="00250847" w:rsidRPr="00E26270">
        <w:rPr>
          <w:b/>
        </w:rPr>
        <w:t>e</w:t>
      </w:r>
      <w:r w:rsidRPr="00E26270">
        <w:rPr>
          <w:b/>
        </w:rPr>
        <w:t>:</w:t>
      </w:r>
      <w:r w:rsidR="0009683E" w:rsidRPr="00E26270">
        <w:rPr>
          <w:b/>
        </w:rPr>
        <w:t xml:space="preserve"> </w:t>
      </w:r>
      <w:r w:rsidR="00687B44" w:rsidRPr="00E26270">
        <w:rPr>
          <w:lang w:val="en-GB"/>
        </w:rPr>
        <w:t>+420 475283376</w:t>
      </w:r>
    </w:p>
    <w:p w:rsidR="00A66F2F" w:rsidRPr="005A1001" w:rsidRDefault="009C2AFC" w:rsidP="00A66F2F">
      <w:pPr>
        <w:rPr>
          <w:b/>
          <w:sz w:val="32"/>
          <w:szCs w:val="32"/>
        </w:rPr>
      </w:pPr>
      <w:bookmarkStart w:id="0" w:name="_GoBack"/>
      <w:bookmarkEnd w:id="0"/>
      <w:r w:rsidRPr="005A1001">
        <w:rPr>
          <w:b/>
          <w:sz w:val="32"/>
          <w:szCs w:val="32"/>
        </w:rPr>
        <w:t>Equipment Description</w:t>
      </w:r>
    </w:p>
    <w:p w:rsidR="009C2AFC" w:rsidRDefault="009C2AFC" w:rsidP="00A66F2F">
      <w:pPr>
        <w:rPr>
          <w:b/>
        </w:rPr>
      </w:pPr>
      <w:r w:rsidRPr="008E32CC">
        <w:rPr>
          <w:b/>
        </w:rPr>
        <w:t>Description of equipment:</w:t>
      </w:r>
    </w:p>
    <w:p w:rsidR="0009683E" w:rsidRPr="004A6762" w:rsidRDefault="0009683E" w:rsidP="0009683E">
      <w:pPr>
        <w:spacing w:before="120" w:after="120"/>
        <w:contextualSpacing/>
        <w:rPr>
          <w:rStyle w:val="hps"/>
          <w:rFonts w:cs="Arial"/>
          <w:color w:val="222222"/>
          <w:lang w:val="en-GB"/>
        </w:rPr>
      </w:pPr>
      <w:r w:rsidRPr="004A6762">
        <w:rPr>
          <w:rStyle w:val="hps"/>
          <w:rFonts w:cs="Arial"/>
          <w:color w:val="222222"/>
          <w:lang w:val="en-GB"/>
        </w:rPr>
        <w:t>Specifications and</w:t>
      </w:r>
      <w:r w:rsidRPr="004A6762">
        <w:rPr>
          <w:rStyle w:val="shorttext"/>
          <w:rFonts w:cs="Arial"/>
          <w:color w:val="222222"/>
          <w:lang w:val="en-GB"/>
        </w:rPr>
        <w:t xml:space="preserve"> </w:t>
      </w:r>
      <w:r w:rsidRPr="004A6762">
        <w:rPr>
          <w:rStyle w:val="hps"/>
          <w:rFonts w:cs="Arial"/>
          <w:color w:val="222222"/>
          <w:lang w:val="en-GB"/>
        </w:rPr>
        <w:t>technical features:</w:t>
      </w:r>
    </w:p>
    <w:p w:rsidR="00E26270" w:rsidRDefault="00E26270" w:rsidP="00A35843">
      <w:pPr>
        <w:spacing w:before="120" w:after="120"/>
        <w:jc w:val="both"/>
      </w:pPr>
    </w:p>
    <w:p w:rsidR="00072438" w:rsidRDefault="00B243F6" w:rsidP="00A35843">
      <w:pPr>
        <w:spacing w:before="120" w:after="120"/>
        <w:jc w:val="both"/>
      </w:pPr>
      <w:proofErr w:type="spellStart"/>
      <w:r>
        <w:t>M</w:t>
      </w:r>
      <w:r w:rsidR="0090750B">
        <w:t>icroarrayer</w:t>
      </w:r>
      <w:proofErr w:type="spellEnd"/>
      <w:r w:rsidR="0090750B" w:rsidRPr="0090750B">
        <w:t xml:space="preserve"> </w:t>
      </w:r>
      <w:r>
        <w:t>is</w:t>
      </w:r>
      <w:r w:rsidR="0090750B" w:rsidRPr="0090750B">
        <w:t xml:space="preserve"> the printing technology to produce diverse DNA, protein, reverse phase and whole cell microarray content in per</w:t>
      </w:r>
      <w:r w:rsidR="0090750B">
        <w:t xml:space="preserve">sonal desktop designs. </w:t>
      </w:r>
      <w:r>
        <w:t>It</w:t>
      </w:r>
      <w:r w:rsidR="0090750B">
        <w:t xml:space="preserve"> represent</w:t>
      </w:r>
      <w:r>
        <w:t>s</w:t>
      </w:r>
      <w:r w:rsidR="0090750B">
        <w:t xml:space="preserve"> </w:t>
      </w:r>
      <w:r w:rsidR="0090750B" w:rsidRPr="0090750B">
        <w:t xml:space="preserve">automated solution to innovative microarray research, genomics, proteomics and diagnostics, and </w:t>
      </w:r>
      <w:r w:rsidR="0090750B">
        <w:t xml:space="preserve">is </w:t>
      </w:r>
      <w:r w:rsidR="0090750B" w:rsidRPr="0090750B">
        <w:t xml:space="preserve">essential equipment for life science and healthcare </w:t>
      </w:r>
      <w:r w:rsidR="0090750B">
        <w:t xml:space="preserve">related basic and application research. </w:t>
      </w:r>
    </w:p>
    <w:p w:rsidR="0090750B" w:rsidRDefault="0090750B" w:rsidP="00072438">
      <w:pPr>
        <w:spacing w:before="120" w:after="120"/>
        <w:rPr>
          <w:lang w:val="en-GB"/>
        </w:rPr>
      </w:pPr>
    </w:p>
    <w:p w:rsidR="00072438" w:rsidRDefault="00072438" w:rsidP="00072438">
      <w:pPr>
        <w:spacing w:before="120" w:after="120"/>
        <w:rPr>
          <w:lang w:val="en-GB"/>
        </w:rPr>
      </w:pPr>
      <w:r>
        <w:rPr>
          <w:lang w:val="en-GB"/>
        </w:rPr>
        <w:t>Key technical parameters:</w:t>
      </w:r>
    </w:p>
    <w:p w:rsidR="0090750B" w:rsidRPr="0090750B" w:rsidRDefault="0090750B" w:rsidP="0090750B">
      <w:pPr>
        <w:numPr>
          <w:ilvl w:val="0"/>
          <w:numId w:val="6"/>
        </w:numPr>
        <w:spacing w:before="120" w:after="120"/>
        <w:rPr>
          <w:lang w:val="cs-CZ"/>
        </w:rPr>
      </w:pPr>
      <w:r w:rsidRPr="0090750B">
        <w:rPr>
          <w:lang w:val="cs-CZ"/>
        </w:rPr>
        <w:t>4-pin printhead configuration in a 2 x 2 pattern at 4.5 mm spacing</w:t>
      </w:r>
    </w:p>
    <w:p w:rsidR="0090750B" w:rsidRPr="0090750B" w:rsidRDefault="0090750B" w:rsidP="0090750B">
      <w:pPr>
        <w:numPr>
          <w:ilvl w:val="0"/>
          <w:numId w:val="6"/>
        </w:numPr>
        <w:spacing w:before="120" w:after="120"/>
        <w:rPr>
          <w:lang w:val="cs-CZ"/>
        </w:rPr>
      </w:pPr>
      <w:r>
        <w:rPr>
          <w:lang w:val="cs-CZ"/>
        </w:rPr>
        <w:t>P</w:t>
      </w:r>
      <w:r w:rsidRPr="0090750B">
        <w:rPr>
          <w:lang w:val="cs-CZ"/>
        </w:rPr>
        <w:t>rinthead for reduced friction and printing precision</w:t>
      </w:r>
    </w:p>
    <w:p w:rsidR="0090750B" w:rsidRPr="0090750B" w:rsidRDefault="0090750B" w:rsidP="0090750B">
      <w:pPr>
        <w:numPr>
          <w:ilvl w:val="0"/>
          <w:numId w:val="6"/>
        </w:numPr>
        <w:spacing w:before="120" w:after="120"/>
        <w:rPr>
          <w:lang w:val="cs-CZ"/>
        </w:rPr>
      </w:pPr>
      <w:r w:rsidRPr="0090750B">
        <w:rPr>
          <w:lang w:val="cs-CZ"/>
        </w:rPr>
        <w:t>Axis resolution and repeatability of ±10 µm</w:t>
      </w:r>
    </w:p>
    <w:p w:rsidR="0090750B" w:rsidRPr="0090750B" w:rsidRDefault="0090750B" w:rsidP="0090750B">
      <w:pPr>
        <w:numPr>
          <w:ilvl w:val="0"/>
          <w:numId w:val="6"/>
        </w:numPr>
        <w:spacing w:before="120" w:after="120"/>
        <w:rPr>
          <w:lang w:val="cs-CZ"/>
        </w:rPr>
      </w:pPr>
      <w:r w:rsidRPr="0090750B">
        <w:rPr>
          <w:lang w:val="cs-CZ"/>
        </w:rPr>
        <w:t xml:space="preserve">Deck </w:t>
      </w:r>
      <w:r>
        <w:rPr>
          <w:lang w:val="cs-CZ"/>
        </w:rPr>
        <w:t xml:space="preserve">which </w:t>
      </w:r>
      <w:r w:rsidRPr="0090750B">
        <w:rPr>
          <w:lang w:val="cs-CZ"/>
        </w:rPr>
        <w:t xml:space="preserve">accommodates </w:t>
      </w:r>
      <w:r>
        <w:rPr>
          <w:lang w:val="cs-CZ"/>
        </w:rPr>
        <w:t xml:space="preserve">at least </w:t>
      </w:r>
      <w:r w:rsidRPr="0090750B">
        <w:rPr>
          <w:lang w:val="cs-CZ"/>
        </w:rPr>
        <w:t>14 standard glass substrate slides (25 x 76 mm)</w:t>
      </w:r>
    </w:p>
    <w:p w:rsidR="0090750B" w:rsidRPr="0090750B" w:rsidRDefault="0090750B" w:rsidP="0090750B">
      <w:pPr>
        <w:numPr>
          <w:ilvl w:val="0"/>
          <w:numId w:val="6"/>
        </w:numPr>
        <w:spacing w:before="120" w:after="120"/>
        <w:rPr>
          <w:lang w:val="cs-CZ"/>
        </w:rPr>
      </w:pPr>
      <w:r w:rsidRPr="0090750B">
        <w:rPr>
          <w:lang w:val="cs-CZ"/>
        </w:rPr>
        <w:t xml:space="preserve">Deck </w:t>
      </w:r>
      <w:r w:rsidR="007F3100">
        <w:rPr>
          <w:lang w:val="cs-CZ"/>
        </w:rPr>
        <w:t xml:space="preserve">which </w:t>
      </w:r>
      <w:r w:rsidRPr="0090750B">
        <w:rPr>
          <w:lang w:val="cs-CZ"/>
        </w:rPr>
        <w:t>accommodates 1 microplate (384-well)</w:t>
      </w:r>
    </w:p>
    <w:p w:rsidR="0090750B" w:rsidRPr="0090750B" w:rsidRDefault="0090750B" w:rsidP="0090750B">
      <w:pPr>
        <w:numPr>
          <w:ilvl w:val="0"/>
          <w:numId w:val="6"/>
        </w:numPr>
        <w:spacing w:before="120" w:after="120"/>
        <w:rPr>
          <w:lang w:val="cs-CZ"/>
        </w:rPr>
      </w:pPr>
      <w:r w:rsidRPr="0090750B">
        <w:rPr>
          <w:lang w:val="cs-CZ"/>
        </w:rPr>
        <w:t>Complete deck and microplate cooling</w:t>
      </w:r>
      <w:r w:rsidR="007F3100">
        <w:rPr>
          <w:lang w:val="cs-CZ"/>
        </w:rPr>
        <w:t>/heating</w:t>
      </w:r>
      <w:r w:rsidRPr="0090750B">
        <w:rPr>
          <w:lang w:val="cs-CZ"/>
        </w:rPr>
        <w:t xml:space="preserve"> from 4°C </w:t>
      </w:r>
      <w:r w:rsidR="007F3100">
        <w:rPr>
          <w:lang w:val="cs-CZ"/>
        </w:rPr>
        <w:t xml:space="preserve">- </w:t>
      </w:r>
      <w:r w:rsidR="007F3100" w:rsidRPr="0090750B">
        <w:rPr>
          <w:lang w:val="cs-CZ"/>
        </w:rPr>
        <w:t>45°C</w:t>
      </w:r>
    </w:p>
    <w:p w:rsidR="0090750B" w:rsidRPr="0090750B" w:rsidRDefault="0090750B" w:rsidP="0090750B">
      <w:pPr>
        <w:numPr>
          <w:ilvl w:val="0"/>
          <w:numId w:val="6"/>
        </w:numPr>
        <w:spacing w:before="120" w:after="120"/>
        <w:rPr>
          <w:lang w:val="cs-CZ"/>
        </w:rPr>
      </w:pPr>
      <w:r w:rsidRPr="0090750B">
        <w:rPr>
          <w:lang w:val="cs-CZ"/>
        </w:rPr>
        <w:lastRenderedPageBreak/>
        <w:t>Humidity control from 10-80% RH</w:t>
      </w:r>
    </w:p>
    <w:p w:rsidR="0090750B" w:rsidRPr="0090750B" w:rsidRDefault="007F3100" w:rsidP="0090750B">
      <w:pPr>
        <w:numPr>
          <w:ilvl w:val="0"/>
          <w:numId w:val="6"/>
        </w:numPr>
        <w:spacing w:before="120" w:after="120"/>
        <w:rPr>
          <w:lang w:val="cs-CZ"/>
        </w:rPr>
      </w:pPr>
      <w:r>
        <w:rPr>
          <w:lang w:val="cs-CZ"/>
        </w:rPr>
        <w:t xml:space="preserve">At least </w:t>
      </w:r>
      <w:r w:rsidR="0090750B" w:rsidRPr="0090750B">
        <w:rPr>
          <w:lang w:val="cs-CZ"/>
        </w:rPr>
        <w:t>3,600 spots per sub-microarray (9 x 9 mm)</w:t>
      </w:r>
    </w:p>
    <w:p w:rsidR="00C65F02" w:rsidRPr="003455FD" w:rsidRDefault="007F3100" w:rsidP="00C65F02">
      <w:pPr>
        <w:numPr>
          <w:ilvl w:val="0"/>
          <w:numId w:val="6"/>
        </w:numPr>
        <w:spacing w:before="120" w:after="120"/>
        <w:rPr>
          <w:lang w:val="cs-CZ"/>
        </w:rPr>
      </w:pPr>
      <w:r>
        <w:rPr>
          <w:lang w:val="cs-CZ"/>
        </w:rPr>
        <w:t xml:space="preserve">At least </w:t>
      </w:r>
      <w:r w:rsidR="0090750B" w:rsidRPr="0090750B">
        <w:rPr>
          <w:lang w:val="cs-CZ"/>
        </w:rPr>
        <w:t>50,400 spots per entire substrate (18 x 63 mm)</w:t>
      </w:r>
    </w:p>
    <w:p w:rsidR="009A66F7" w:rsidRPr="00C65F02" w:rsidRDefault="009A66F7" w:rsidP="00C65F02">
      <w:pPr>
        <w:spacing w:before="120" w:after="120"/>
        <w:rPr>
          <w:lang w:val="en-GB"/>
        </w:rPr>
      </w:pPr>
    </w:p>
    <w:p w:rsidR="00A66F2F" w:rsidRDefault="00A66F2F" w:rsidP="0069705D">
      <w:pPr>
        <w:spacing w:after="100" w:afterAutospacing="1"/>
        <w:rPr>
          <w:b/>
          <w:sz w:val="32"/>
          <w:szCs w:val="32"/>
        </w:rPr>
      </w:pPr>
      <w:r w:rsidRPr="00E26270">
        <w:rPr>
          <w:b/>
          <w:sz w:val="32"/>
          <w:szCs w:val="32"/>
        </w:rPr>
        <w:t>Specification of expertise rele</w:t>
      </w:r>
      <w:r w:rsidR="009124E8" w:rsidRPr="00E26270">
        <w:rPr>
          <w:b/>
          <w:sz w:val="32"/>
          <w:szCs w:val="32"/>
        </w:rPr>
        <w:t xml:space="preserve">vant to </w:t>
      </w:r>
      <w:proofErr w:type="spellStart"/>
      <w:r w:rsidR="009124E8" w:rsidRPr="00E26270">
        <w:rPr>
          <w:b/>
          <w:sz w:val="32"/>
          <w:szCs w:val="32"/>
        </w:rPr>
        <w:t>NanoEnviCz</w:t>
      </w:r>
      <w:proofErr w:type="spellEnd"/>
      <w:r w:rsidR="009124E8" w:rsidRPr="00E26270">
        <w:rPr>
          <w:b/>
          <w:sz w:val="32"/>
          <w:szCs w:val="32"/>
        </w:rPr>
        <w:t xml:space="preserve"> </w:t>
      </w:r>
      <w:proofErr w:type="spellStart"/>
      <w:r w:rsidR="009124E8" w:rsidRPr="00E26270">
        <w:rPr>
          <w:b/>
          <w:sz w:val="32"/>
          <w:szCs w:val="32"/>
        </w:rPr>
        <w:t>workpackages</w:t>
      </w:r>
      <w:proofErr w:type="spellEnd"/>
      <w:r w:rsidR="009124E8" w:rsidRPr="00E26270">
        <w:rPr>
          <w:b/>
          <w:sz w:val="32"/>
          <w:szCs w:val="32"/>
        </w:rPr>
        <w:t>:</w:t>
      </w:r>
    </w:p>
    <w:p w:rsidR="00647884" w:rsidRPr="00647884" w:rsidRDefault="000163BD" w:rsidP="0069705D">
      <w:pPr>
        <w:spacing w:after="100" w:afterAutospacing="1"/>
      </w:pPr>
      <w:r w:rsidRPr="00A73C51">
        <w:rPr>
          <w:i/>
          <w:noProof/>
        </w:rPr>
        <w:t>Please, tick relevant research topic</w:t>
      </w:r>
      <w:r>
        <w:rPr>
          <w:i/>
          <w:noProof/>
        </w:rPr>
        <w:t>(</w:t>
      </w:r>
      <w:r w:rsidRPr="00A73C51">
        <w:rPr>
          <w:i/>
          <w:noProof/>
        </w:rPr>
        <w:t>s</w:t>
      </w:r>
      <w:r>
        <w:rPr>
          <w:i/>
          <w:noProof/>
        </w:rPr>
        <w:t>)</w:t>
      </w:r>
      <w:r w:rsidRPr="00A73C51">
        <w:rPr>
          <w:i/>
          <w:noProof/>
        </w:rPr>
        <w:t>.</w:t>
      </w:r>
    </w:p>
    <w:tbl>
      <w:tblPr>
        <w:tblStyle w:val="TableGrid"/>
        <w:tblpPr w:leftFromText="141" w:rightFromText="141" w:vertAnchor="text" w:horzAnchor="margin" w:tblpY="336"/>
        <w:tblW w:w="0" w:type="auto"/>
        <w:tblLook w:val="04A0" w:firstRow="1" w:lastRow="0" w:firstColumn="1" w:lastColumn="0" w:noHBand="0" w:noVBand="1"/>
      </w:tblPr>
      <w:tblGrid>
        <w:gridCol w:w="7650"/>
        <w:gridCol w:w="1412"/>
      </w:tblGrid>
      <w:tr w:rsidR="00396353" w:rsidRPr="00396353" w:rsidTr="00054E7A">
        <w:tc>
          <w:tcPr>
            <w:tcW w:w="9062" w:type="dxa"/>
            <w:gridSpan w:val="2"/>
          </w:tcPr>
          <w:p w:rsidR="00A66F2F" w:rsidRPr="00396353" w:rsidRDefault="00A66F2F" w:rsidP="00054E7A">
            <w:pPr>
              <w:rPr>
                <w:b/>
                <w:lang w:val="en-GB"/>
              </w:rPr>
            </w:pPr>
            <w:r w:rsidRPr="00396353">
              <w:rPr>
                <w:b/>
                <w:lang w:val="en-GB"/>
              </w:rPr>
              <w:t>WP3 SYNTHESIS AND DESIGN OF NEW MULTIFUNCTIONAL NANOMATERIALS FOR ENVIRONMENT PROTECTION</w:t>
            </w:r>
          </w:p>
          <w:p w:rsidR="00A66F2F" w:rsidRPr="00396353" w:rsidRDefault="00A66F2F" w:rsidP="00054E7A">
            <w:pP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Conceptually new nanostructured materials with the potential for application in innovative technologies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Computer aided nanomaterials design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Low dimensional materials and their composites (carbon dots, nanotubes, graphene derivatives)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Nanofibers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Magnetic hybrids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Metal and metal oxide NPs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Redox active nanomaterials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Nanomaterials for biomedical applications</w:t>
            </w:r>
          </w:p>
        </w:tc>
        <w:tc>
          <w:tcPr>
            <w:tcW w:w="1412" w:type="dxa"/>
          </w:tcPr>
          <w:p w:rsidR="00A66F2F" w:rsidRPr="00396353" w:rsidRDefault="001E1289" w:rsidP="00054E7A">
            <w:pPr>
              <w:jc w:val="center"/>
              <w:rPr>
                <w:lang w:val="en-GB"/>
              </w:rPr>
            </w:pPr>
            <w:r>
              <w:rPr>
                <w:lang w:val="en-GB"/>
              </w:rPr>
              <w:t>x</w:t>
            </w: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WP4 HETEROGENEOUS CATALYSIS FOR ENVIRONMENTAL PROTECTION</w:t>
            </w:r>
          </w:p>
        </w:tc>
      </w:tr>
      <w:tr w:rsidR="00396353" w:rsidRPr="00396353" w:rsidTr="00054E7A">
        <w:tc>
          <w:tcPr>
            <w:tcW w:w="7650" w:type="dxa"/>
          </w:tcPr>
          <w:p w:rsidR="00A66F2F" w:rsidRPr="00396353" w:rsidRDefault="00A66F2F" w:rsidP="00054E7A">
            <w:pPr>
              <w:rPr>
                <w:lang w:val="en-GB"/>
              </w:rPr>
            </w:pPr>
            <w:r w:rsidRPr="00396353">
              <w:rPr>
                <w:lang w:val="en-GB"/>
              </w:rPr>
              <w:t>Nanomaterials for catalytic degradation of pollutants in water, soil and air</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Nanostructured heterogeneous catalysts for abatement of pollutants from industrial processes and automotive transport</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New “clean” catalytic processes for chemical production</w:t>
            </w:r>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WP5 NOVEL NANOMATERIALS AND TECHNOLOGIES FOR SUSTAINABLE PRODUCTION</w:t>
            </w:r>
          </w:p>
        </w:tc>
      </w:tr>
      <w:tr w:rsidR="00396353" w:rsidRPr="00396353" w:rsidTr="00054E7A">
        <w:tc>
          <w:tcPr>
            <w:tcW w:w="7650" w:type="dxa"/>
          </w:tcPr>
          <w:p w:rsidR="00A66F2F" w:rsidRPr="00396353" w:rsidRDefault="00A66F2F" w:rsidP="00054E7A">
            <w:pPr>
              <w:rPr>
                <w:lang w:val="en-GB"/>
              </w:rPr>
            </w:pPr>
            <w:r w:rsidRPr="00396353">
              <w:rPr>
                <w:lang w:val="en-GB"/>
              </w:rPr>
              <w:t>Processes and technology for sustainable energy and chemical production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Catalytic processes for transformation of natural gas to liquids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Nanomaterials for utilization of renewables; Magnetically separable green catalysts</w:t>
            </w:r>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WP6 EFFECTIVE PHOTOCATALYTIC TECHNOLOGIES</w:t>
            </w:r>
          </w:p>
        </w:tc>
      </w:tr>
      <w:tr w:rsidR="00396353" w:rsidRPr="00396353" w:rsidTr="00054E7A">
        <w:tc>
          <w:tcPr>
            <w:tcW w:w="7650" w:type="dxa"/>
          </w:tcPr>
          <w:p w:rsidR="00A66F2F" w:rsidRPr="00396353" w:rsidRDefault="00A66F2F" w:rsidP="00054E7A">
            <w:pPr>
              <w:rPr>
                <w:lang w:val="en-GB"/>
              </w:rPr>
            </w:pPr>
            <w:r w:rsidRPr="00396353">
              <w:rPr>
                <w:lang w:val="en-GB"/>
              </w:rPr>
              <w:t xml:space="preserve">Mastering nanomaterials for </w:t>
            </w:r>
            <w:proofErr w:type="spellStart"/>
            <w:r w:rsidRPr="00396353">
              <w:rPr>
                <w:lang w:val="en-GB"/>
              </w:rPr>
              <w:t>photocatalysis</w:t>
            </w:r>
            <w:proofErr w:type="spellEnd"/>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Effective photocatalytic processes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Photovoltaic paints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Functional surfaces for environmental protection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 xml:space="preserve">Hybrid materials combining </w:t>
            </w:r>
            <w:proofErr w:type="spellStart"/>
            <w:r w:rsidRPr="00396353">
              <w:rPr>
                <w:lang w:val="en-GB"/>
              </w:rPr>
              <w:t>photocatalysts</w:t>
            </w:r>
            <w:proofErr w:type="spellEnd"/>
            <w:r w:rsidRPr="00396353">
              <w:rPr>
                <w:lang w:val="en-GB"/>
              </w:rPr>
              <w:t xml:space="preserve"> and heterogeneous catalysts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Thin photocatalytic films for direct solar splitting of water</w:t>
            </w:r>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lastRenderedPageBreak/>
              <w:t>WP7 NANOTECHNOLOGY FOR TRAPPING AND CHEMICAL DEGRADATION OF POLLUTANTS</w:t>
            </w:r>
          </w:p>
        </w:tc>
      </w:tr>
      <w:tr w:rsidR="00396353" w:rsidRPr="00396353" w:rsidTr="00054E7A">
        <w:tc>
          <w:tcPr>
            <w:tcW w:w="7650" w:type="dxa"/>
          </w:tcPr>
          <w:p w:rsidR="00A66F2F" w:rsidRPr="00396353" w:rsidRDefault="00A66F2F" w:rsidP="00054E7A">
            <w:pPr>
              <w:rPr>
                <w:lang w:val="en-GB"/>
              </w:rPr>
            </w:pPr>
            <w:r w:rsidRPr="00396353">
              <w:rPr>
                <w:lang w:val="en-GB"/>
              </w:rPr>
              <w:t>Nanomaterials for sorption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Natural based nanomaterials produced by “green” technology</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Reactive sorbents for degradation of pesticides and highly toxic agents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Degradation of chemical warfare agents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Analysis of filtering capabilities of nanomaterials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Elimination of radionuclides contamination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Modified nanofiber fi</w:t>
            </w:r>
            <w:r w:rsidR="005305F6" w:rsidRPr="00396353">
              <w:rPr>
                <w:lang w:val="en-GB"/>
              </w:rPr>
              <w:t>l</w:t>
            </w:r>
            <w:r w:rsidRPr="00396353">
              <w:rPr>
                <w:lang w:val="en-GB"/>
              </w:rPr>
              <w:t>ters; Advanced antimicrobial filters/membranes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proofErr w:type="spellStart"/>
            <w:r w:rsidRPr="00396353">
              <w:rPr>
                <w:lang w:val="en-GB"/>
              </w:rPr>
              <w:t>Nanoiron</w:t>
            </w:r>
            <w:proofErr w:type="spellEnd"/>
            <w:r w:rsidRPr="00396353">
              <w:rPr>
                <w:lang w:val="en-GB"/>
              </w:rPr>
              <w:t xml:space="preserve"> for groundwater and waste water treatment</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Nano-trapping of heavy metals</w:t>
            </w:r>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WP8 SENSING AND MONITORING OF POLLUTANTS</w:t>
            </w:r>
          </w:p>
        </w:tc>
      </w:tr>
      <w:tr w:rsidR="00396353" w:rsidRPr="00396353" w:rsidTr="00054E7A">
        <w:tc>
          <w:tcPr>
            <w:tcW w:w="7650" w:type="dxa"/>
          </w:tcPr>
          <w:p w:rsidR="00A66F2F" w:rsidRPr="00396353" w:rsidRDefault="00A66F2F" w:rsidP="00054E7A">
            <w:pPr>
              <w:rPr>
                <w:lang w:val="en-GB"/>
              </w:rPr>
            </w:pPr>
            <w:r w:rsidRPr="00396353">
              <w:rPr>
                <w:lang w:val="en-GB"/>
              </w:rPr>
              <w:t>Efficient sensing of pollutants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proofErr w:type="spellStart"/>
            <w:r w:rsidRPr="00396353">
              <w:rPr>
                <w:lang w:val="en-GB"/>
              </w:rPr>
              <w:t>Biosensing</w:t>
            </w:r>
            <w:proofErr w:type="spellEnd"/>
            <w:r w:rsidRPr="00396353">
              <w:rPr>
                <w:lang w:val="en-GB"/>
              </w:rPr>
              <w:t xml:space="preserve"> by new devises</w:t>
            </w:r>
          </w:p>
        </w:tc>
        <w:tc>
          <w:tcPr>
            <w:tcW w:w="1412" w:type="dxa"/>
          </w:tcPr>
          <w:p w:rsidR="00A66F2F" w:rsidRPr="00396353" w:rsidRDefault="00EB774B" w:rsidP="00054E7A">
            <w:pPr>
              <w:jc w:val="center"/>
              <w:rPr>
                <w:lang w:val="en-GB"/>
              </w:rPr>
            </w:pPr>
            <w:r>
              <w:rPr>
                <w:lang w:val="en-GB"/>
              </w:rPr>
              <w:t>x</w:t>
            </w:r>
          </w:p>
        </w:tc>
      </w:tr>
      <w:tr w:rsidR="00396353" w:rsidRPr="00396353" w:rsidTr="00054E7A">
        <w:tc>
          <w:tcPr>
            <w:tcW w:w="7650" w:type="dxa"/>
          </w:tcPr>
          <w:p w:rsidR="00A66F2F" w:rsidRPr="00396353" w:rsidRDefault="00A66F2F" w:rsidP="00054E7A">
            <w:pPr>
              <w:rPr>
                <w:lang w:val="en-GB"/>
              </w:rPr>
            </w:pPr>
            <w:r w:rsidRPr="00396353">
              <w:rPr>
                <w:lang w:val="en-GB"/>
              </w:rPr>
              <w:t>Application of new sensors in monitoring of pollutants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 xml:space="preserve">Magnetic sensors;  Magnetically assisted SERS sensors </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Advanced electrochemical sensors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 xml:space="preserve">Graphene based </w:t>
            </w:r>
            <w:proofErr w:type="spellStart"/>
            <w:r w:rsidRPr="00396353">
              <w:rPr>
                <w:lang w:val="en-GB"/>
              </w:rPr>
              <w:t>nanosensors</w:t>
            </w:r>
            <w:proofErr w:type="spellEnd"/>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WP9 TOXICITY AND RISKS OF NANOMATERIALS</w:t>
            </w:r>
          </w:p>
        </w:tc>
      </w:tr>
      <w:tr w:rsidR="00396353" w:rsidRPr="00396353" w:rsidTr="00054E7A">
        <w:tc>
          <w:tcPr>
            <w:tcW w:w="7650" w:type="dxa"/>
          </w:tcPr>
          <w:p w:rsidR="00A66F2F" w:rsidRPr="00396353" w:rsidRDefault="00A66F2F" w:rsidP="00054E7A">
            <w:pPr>
              <w:rPr>
                <w:lang w:val="en-GB"/>
              </w:rPr>
            </w:pPr>
            <w:r w:rsidRPr="00396353">
              <w:rPr>
                <w:lang w:val="en-GB"/>
              </w:rPr>
              <w:t xml:space="preserve">Health risks </w:t>
            </w:r>
          </w:p>
        </w:tc>
        <w:tc>
          <w:tcPr>
            <w:tcW w:w="1412" w:type="dxa"/>
          </w:tcPr>
          <w:p w:rsidR="00A66F2F" w:rsidRPr="00396353" w:rsidRDefault="00671C85" w:rsidP="00054E7A">
            <w:pPr>
              <w:jc w:val="center"/>
              <w:rPr>
                <w:lang w:val="en-GB"/>
              </w:rPr>
            </w:pPr>
            <w:r>
              <w:rPr>
                <w:lang w:val="en-GB"/>
              </w:rPr>
              <w:t>x</w:t>
            </w:r>
          </w:p>
        </w:tc>
      </w:tr>
      <w:tr w:rsidR="00396353" w:rsidRPr="00396353" w:rsidTr="00054E7A">
        <w:tc>
          <w:tcPr>
            <w:tcW w:w="7650" w:type="dxa"/>
          </w:tcPr>
          <w:p w:rsidR="00A66F2F" w:rsidRPr="00396353" w:rsidRDefault="00A66F2F" w:rsidP="00054E7A">
            <w:pPr>
              <w:rPr>
                <w:lang w:val="en-GB"/>
              </w:rPr>
            </w:pPr>
            <w:r w:rsidRPr="00396353">
              <w:rPr>
                <w:lang w:val="en-GB"/>
              </w:rPr>
              <w:t>Environmental risks</w:t>
            </w:r>
          </w:p>
        </w:tc>
        <w:tc>
          <w:tcPr>
            <w:tcW w:w="1412" w:type="dxa"/>
          </w:tcPr>
          <w:p w:rsidR="00A66F2F" w:rsidRPr="00396353" w:rsidRDefault="00671C85" w:rsidP="00054E7A">
            <w:pPr>
              <w:jc w:val="center"/>
              <w:rPr>
                <w:lang w:val="en-GB"/>
              </w:rPr>
            </w:pPr>
            <w:r>
              <w:rPr>
                <w:lang w:val="en-GB"/>
              </w:rPr>
              <w:t>x</w:t>
            </w:r>
          </w:p>
        </w:tc>
      </w:tr>
      <w:tr w:rsidR="00396353" w:rsidRPr="00396353" w:rsidTr="00054E7A">
        <w:tc>
          <w:tcPr>
            <w:tcW w:w="7650" w:type="dxa"/>
          </w:tcPr>
          <w:p w:rsidR="00A66F2F" w:rsidRPr="00396353" w:rsidRDefault="00A66F2F" w:rsidP="00054E7A">
            <w:pPr>
              <w:rPr>
                <w:lang w:val="en-GB"/>
              </w:rPr>
            </w:pPr>
            <w:r w:rsidRPr="00396353">
              <w:rPr>
                <w:lang w:val="en-GB"/>
              </w:rPr>
              <w:t>„In vitro“ and „in vivo“ toxicity tests – cytotoxicity, genotoxicity, interactions with membrane</w:t>
            </w:r>
          </w:p>
        </w:tc>
        <w:tc>
          <w:tcPr>
            <w:tcW w:w="1412" w:type="dxa"/>
          </w:tcPr>
          <w:p w:rsidR="00A66F2F" w:rsidRPr="00396353" w:rsidRDefault="00A66F2F" w:rsidP="001E1289">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RNA gene expression changes and protein expression changes</w:t>
            </w:r>
          </w:p>
        </w:tc>
        <w:tc>
          <w:tcPr>
            <w:tcW w:w="1412" w:type="dxa"/>
          </w:tcPr>
          <w:p w:rsidR="00A66F2F" w:rsidRPr="00396353" w:rsidRDefault="001E1289" w:rsidP="001E1289">
            <w:pPr>
              <w:jc w:val="center"/>
              <w:rPr>
                <w:lang w:val="en-GB"/>
              </w:rPr>
            </w:pPr>
            <w:r w:rsidRPr="001E1289">
              <w:rPr>
                <w:lang w:val="en-GB"/>
              </w:rPr>
              <w:t>x</w:t>
            </w:r>
          </w:p>
        </w:tc>
      </w:tr>
      <w:tr w:rsidR="00396353" w:rsidRPr="00396353" w:rsidTr="00054E7A">
        <w:tc>
          <w:tcPr>
            <w:tcW w:w="7650" w:type="dxa"/>
          </w:tcPr>
          <w:p w:rsidR="00A66F2F" w:rsidRPr="00396353" w:rsidRDefault="00A66F2F" w:rsidP="00054E7A">
            <w:pPr>
              <w:rPr>
                <w:lang w:val="en-GB"/>
              </w:rPr>
            </w:pPr>
            <w:r w:rsidRPr="00396353">
              <w:rPr>
                <w:lang w:val="en-GB"/>
              </w:rPr>
              <w:t>Complete eco/</w:t>
            </w:r>
            <w:proofErr w:type="spellStart"/>
            <w:r w:rsidRPr="00396353">
              <w:rPr>
                <w:lang w:val="en-GB"/>
              </w:rPr>
              <w:t>aquatoxicity</w:t>
            </w:r>
            <w:proofErr w:type="spellEnd"/>
            <w:r w:rsidRPr="00396353">
              <w:rPr>
                <w:lang w:val="en-GB"/>
              </w:rPr>
              <w:t xml:space="preserve"> </w:t>
            </w:r>
            <w:proofErr w:type="spellStart"/>
            <w:r w:rsidRPr="00396353">
              <w:rPr>
                <w:lang w:val="en-GB"/>
              </w:rPr>
              <w:t>ecotoxicity</w:t>
            </w:r>
            <w:proofErr w:type="spellEnd"/>
            <w:r w:rsidRPr="00396353">
              <w:rPr>
                <w:lang w:val="en-GB"/>
              </w:rPr>
              <w:t xml:space="preserve"> evaluation</w:t>
            </w:r>
          </w:p>
        </w:tc>
        <w:tc>
          <w:tcPr>
            <w:tcW w:w="1412" w:type="dxa"/>
          </w:tcPr>
          <w:p w:rsidR="00A66F2F" w:rsidRPr="00396353" w:rsidRDefault="00A66F2F" w:rsidP="00927910">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Toxicity against bacteria and fungi</w:t>
            </w:r>
          </w:p>
        </w:tc>
        <w:tc>
          <w:tcPr>
            <w:tcW w:w="1412" w:type="dxa"/>
          </w:tcPr>
          <w:p w:rsidR="00A66F2F" w:rsidRPr="00396353" w:rsidRDefault="00A66F2F" w:rsidP="00054E7A">
            <w:pPr>
              <w:rPr>
                <w:lang w:val="en-GB"/>
              </w:rPr>
            </w:pPr>
          </w:p>
        </w:tc>
      </w:tr>
    </w:tbl>
    <w:p w:rsidR="00A66F2F" w:rsidRDefault="00A66F2F" w:rsidP="00A66F2F">
      <w:pPr>
        <w:rPr>
          <w:sz w:val="36"/>
          <w:szCs w:val="36"/>
        </w:rPr>
      </w:pPr>
    </w:p>
    <w:p w:rsidR="00A66F2F" w:rsidRPr="005A1001" w:rsidRDefault="00A66F2F" w:rsidP="00A66F2F">
      <w:pPr>
        <w:rPr>
          <w:b/>
          <w:sz w:val="32"/>
          <w:szCs w:val="32"/>
        </w:rPr>
      </w:pPr>
      <w:r w:rsidRPr="005A1001">
        <w:rPr>
          <w:b/>
          <w:sz w:val="32"/>
          <w:szCs w:val="32"/>
        </w:rPr>
        <w:t>Detailed description of expertise</w:t>
      </w:r>
      <w:r w:rsidR="009124E8" w:rsidRPr="005A1001">
        <w:rPr>
          <w:b/>
          <w:sz w:val="32"/>
          <w:szCs w:val="32"/>
        </w:rPr>
        <w:t xml:space="preserve"> </w:t>
      </w:r>
    </w:p>
    <w:p w:rsidR="00625EAE" w:rsidRDefault="00625EAE" w:rsidP="00A66F2F">
      <w:r w:rsidRPr="008E32CC">
        <w:rPr>
          <w:b/>
        </w:rPr>
        <w:t>Please, specify</w:t>
      </w:r>
      <w:r w:rsidR="002A071C">
        <w:rPr>
          <w:b/>
        </w:rPr>
        <w:t xml:space="preserve"> the</w:t>
      </w:r>
      <w:r w:rsidRPr="008E32CC">
        <w:rPr>
          <w:b/>
        </w:rPr>
        <w:t xml:space="preserve"> main research topics</w:t>
      </w:r>
      <w:r w:rsidR="00B5358E">
        <w:rPr>
          <w:b/>
        </w:rPr>
        <w:t xml:space="preserve"> connected with equipment</w:t>
      </w:r>
      <w:r w:rsidRPr="0069705D">
        <w:t>:</w:t>
      </w:r>
    </w:p>
    <w:p w:rsidR="00CD6187" w:rsidRDefault="00CD6187" w:rsidP="0009683E">
      <w:pPr>
        <w:spacing w:after="0" w:line="240" w:lineRule="auto"/>
        <w:rPr>
          <w:rFonts w:eastAsia="Calibri"/>
          <w:b/>
          <w:bCs/>
          <w:iCs/>
          <w:kern w:val="24"/>
          <w:lang w:val="en-GB"/>
        </w:rPr>
      </w:pPr>
      <w:r>
        <w:rPr>
          <w:rFonts w:eastAsia="Calibri"/>
          <w:b/>
          <w:bCs/>
          <w:iCs/>
          <w:kern w:val="24"/>
          <w:lang w:val="en-GB"/>
        </w:rPr>
        <w:t>Health and environmental risks</w:t>
      </w:r>
    </w:p>
    <w:p w:rsidR="00CD6187" w:rsidRDefault="00CD6187" w:rsidP="0009683E">
      <w:pPr>
        <w:spacing w:after="0" w:line="240" w:lineRule="auto"/>
        <w:rPr>
          <w:rFonts w:eastAsia="Calibri"/>
          <w:bCs/>
          <w:iCs/>
          <w:kern w:val="24"/>
          <w:lang w:val="en-GB"/>
        </w:rPr>
      </w:pPr>
    </w:p>
    <w:p w:rsidR="00CD6187" w:rsidRDefault="00CD6187" w:rsidP="0009683E">
      <w:pPr>
        <w:spacing w:after="0" w:line="240" w:lineRule="auto"/>
        <w:rPr>
          <w:rFonts w:eastAsia="Calibri"/>
          <w:bCs/>
          <w:iCs/>
          <w:kern w:val="24"/>
          <w:lang w:val="en-GB"/>
        </w:rPr>
      </w:pPr>
      <w:r>
        <w:rPr>
          <w:rFonts w:eastAsia="Calibri"/>
          <w:bCs/>
          <w:iCs/>
          <w:kern w:val="24"/>
          <w:lang w:val="en-GB"/>
        </w:rPr>
        <w:t>Protein and whole-cell biosensors</w:t>
      </w:r>
    </w:p>
    <w:p w:rsidR="00CD6187" w:rsidRDefault="00CD6187" w:rsidP="0009683E">
      <w:pPr>
        <w:spacing w:after="0" w:line="240" w:lineRule="auto"/>
        <w:rPr>
          <w:rFonts w:eastAsia="Calibri"/>
          <w:bCs/>
          <w:iCs/>
          <w:kern w:val="24"/>
          <w:lang w:val="en-GB"/>
        </w:rPr>
      </w:pPr>
    </w:p>
    <w:p w:rsidR="00705EBF" w:rsidRDefault="00705EBF" w:rsidP="00A66F2F">
      <w:pPr>
        <w:rPr>
          <w:b/>
        </w:rPr>
      </w:pPr>
    </w:p>
    <w:p w:rsidR="00625EAE" w:rsidRPr="0069705D" w:rsidRDefault="00625EAE" w:rsidP="00A66F2F">
      <w:r w:rsidRPr="008E32CC">
        <w:rPr>
          <w:b/>
        </w:rPr>
        <w:t xml:space="preserve">Please, specify </w:t>
      </w:r>
      <w:r w:rsidR="002A071C">
        <w:rPr>
          <w:b/>
        </w:rPr>
        <w:t xml:space="preserve">the </w:t>
      </w:r>
      <w:r w:rsidRPr="008E32CC">
        <w:rPr>
          <w:b/>
        </w:rPr>
        <w:t>secondary research topics</w:t>
      </w:r>
      <w:r w:rsidR="00B5358E" w:rsidRPr="00B5358E">
        <w:rPr>
          <w:b/>
        </w:rPr>
        <w:t xml:space="preserve"> </w:t>
      </w:r>
      <w:r w:rsidR="00B5358E">
        <w:rPr>
          <w:b/>
        </w:rPr>
        <w:t>connected with equipment</w:t>
      </w:r>
      <w:r w:rsidRPr="0069705D">
        <w:t xml:space="preserve">: </w:t>
      </w:r>
    </w:p>
    <w:p w:rsidR="00CD6187" w:rsidRPr="00CD6187" w:rsidRDefault="00CD6187" w:rsidP="00CD6187">
      <w:pPr>
        <w:spacing w:after="0" w:line="240" w:lineRule="auto"/>
        <w:rPr>
          <w:lang w:val="cs-CZ"/>
        </w:rPr>
      </w:pPr>
      <w:r w:rsidRPr="00CD6187">
        <w:rPr>
          <w:rFonts w:eastAsia="Calibri"/>
          <w:bCs/>
          <w:iCs/>
          <w:kern w:val="24"/>
          <w:lang w:val="en-GB"/>
        </w:rPr>
        <w:t>Nanomaterials for biomedical applications</w:t>
      </w:r>
      <w:r>
        <w:rPr>
          <w:rFonts w:eastAsia="Calibri"/>
          <w:bCs/>
          <w:iCs/>
          <w:kern w:val="24"/>
          <w:lang w:val="en-GB"/>
        </w:rPr>
        <w:t xml:space="preserve"> – development of novel signal amplification strategies</w:t>
      </w:r>
    </w:p>
    <w:p w:rsidR="006C723D" w:rsidRDefault="006C723D" w:rsidP="0009683E">
      <w:pPr>
        <w:pStyle w:val="NormalWeb"/>
        <w:spacing w:before="120" w:beforeAutospacing="0" w:after="120" w:afterAutospacing="0"/>
        <w:textAlignment w:val="baseline"/>
        <w:rPr>
          <w:rFonts w:asciiTheme="minorHAnsi" w:hAnsiTheme="minorHAnsi" w:cstheme="minorBidi"/>
          <w:bCs/>
          <w:kern w:val="24"/>
          <w:sz w:val="22"/>
          <w:szCs w:val="22"/>
          <w:lang w:val="en-GB"/>
        </w:rPr>
      </w:pPr>
    </w:p>
    <w:p w:rsidR="009124E8" w:rsidRPr="00671C85" w:rsidRDefault="009124E8" w:rsidP="00A66F2F">
      <w:pPr>
        <w:rPr>
          <w:b/>
        </w:rPr>
      </w:pPr>
      <w:r w:rsidRPr="00671C85">
        <w:rPr>
          <w:b/>
        </w:rPr>
        <w:t>Keywords describing research area:</w:t>
      </w:r>
    </w:p>
    <w:p w:rsidR="00A01B8C" w:rsidRDefault="00CD6187" w:rsidP="00A66F2F">
      <w:pPr>
        <w:rPr>
          <w:rFonts w:eastAsia="Calibri"/>
          <w:bCs/>
          <w:iCs/>
          <w:kern w:val="24"/>
          <w:lang w:val="en-GB"/>
        </w:rPr>
      </w:pPr>
      <w:r>
        <w:rPr>
          <w:rFonts w:eastAsia="Calibri"/>
          <w:bCs/>
          <w:iCs/>
          <w:kern w:val="24"/>
          <w:lang w:val="en-GB"/>
        </w:rPr>
        <w:lastRenderedPageBreak/>
        <w:t>Microarrays, biosensors, proteins, nucleic acid, fluorescence, nanoparticles</w:t>
      </w:r>
    </w:p>
    <w:p w:rsidR="00CD6187" w:rsidRDefault="00CD6187" w:rsidP="00A66F2F">
      <w:pPr>
        <w:rPr>
          <w:b/>
          <w:sz w:val="32"/>
          <w:szCs w:val="32"/>
        </w:rPr>
      </w:pPr>
    </w:p>
    <w:p w:rsidR="009124E8" w:rsidRPr="00671C85" w:rsidRDefault="009124E8" w:rsidP="00A66F2F">
      <w:pPr>
        <w:rPr>
          <w:b/>
          <w:sz w:val="32"/>
          <w:szCs w:val="32"/>
        </w:rPr>
      </w:pPr>
      <w:r w:rsidRPr="00671C85">
        <w:rPr>
          <w:b/>
          <w:sz w:val="32"/>
          <w:szCs w:val="32"/>
        </w:rPr>
        <w:t>Competence</w:t>
      </w:r>
    </w:p>
    <w:p w:rsidR="00A66F2F" w:rsidRPr="00671C85" w:rsidRDefault="009124E8" w:rsidP="00A66F2F">
      <w:pPr>
        <w:rPr>
          <w:b/>
        </w:rPr>
      </w:pPr>
      <w:r w:rsidRPr="00671C85">
        <w:rPr>
          <w:b/>
        </w:rPr>
        <w:t>Relevance for applied and industrial research:</w:t>
      </w:r>
    </w:p>
    <w:p w:rsidR="00EA0554" w:rsidRDefault="00ED1335" w:rsidP="0009683E">
      <w:pPr>
        <w:spacing w:before="120" w:after="120"/>
        <w:rPr>
          <w:lang w:val="en-GB"/>
        </w:rPr>
      </w:pPr>
      <w:r>
        <w:rPr>
          <w:lang w:val="en-GB"/>
        </w:rPr>
        <w:t>Development of novel diagnostic approaches for environmental and biomedical applications</w:t>
      </w:r>
    </w:p>
    <w:p w:rsidR="00BF2F98" w:rsidRDefault="00BF2F98" w:rsidP="00A66F2F">
      <w:pPr>
        <w:rPr>
          <w:lang w:val="en-GB"/>
        </w:rPr>
      </w:pPr>
    </w:p>
    <w:p w:rsidR="009124E8" w:rsidRPr="00671C85" w:rsidRDefault="009124E8" w:rsidP="00A66F2F">
      <w:pPr>
        <w:rPr>
          <w:b/>
        </w:rPr>
      </w:pPr>
      <w:r w:rsidRPr="00671C85">
        <w:rPr>
          <w:b/>
        </w:rPr>
        <w:t>Relevance for fundamental studies:</w:t>
      </w:r>
    </w:p>
    <w:p w:rsidR="00ED1335" w:rsidRPr="00ED1335" w:rsidRDefault="00ED1335" w:rsidP="00ED1335">
      <w:pPr>
        <w:spacing w:before="120" w:after="120" w:line="259" w:lineRule="auto"/>
        <w:rPr>
          <w:bCs/>
          <w:iCs/>
          <w:lang w:val="en-GB"/>
        </w:rPr>
      </w:pPr>
      <w:r>
        <w:rPr>
          <w:bCs/>
          <w:iCs/>
          <w:lang w:val="en-GB"/>
        </w:rPr>
        <w:t>Novel p</w:t>
      </w:r>
      <w:r w:rsidRPr="00ED1335">
        <w:rPr>
          <w:bCs/>
          <w:iCs/>
          <w:lang w:val="en-GB"/>
        </w:rPr>
        <w:t>rotein and whole-cell biosensors</w:t>
      </w:r>
      <w:r>
        <w:rPr>
          <w:bCs/>
          <w:iCs/>
          <w:lang w:val="en-GB"/>
        </w:rPr>
        <w:t xml:space="preserve"> for environmental and biomedical applications</w:t>
      </w:r>
    </w:p>
    <w:p w:rsidR="00ED1335" w:rsidRPr="00ED1335" w:rsidRDefault="00ED1335" w:rsidP="00ED1335">
      <w:pPr>
        <w:spacing w:before="120" w:after="120" w:line="259" w:lineRule="auto"/>
        <w:rPr>
          <w:lang w:val="cs-CZ"/>
        </w:rPr>
      </w:pPr>
      <w:r w:rsidRPr="00ED1335">
        <w:rPr>
          <w:bCs/>
          <w:iCs/>
          <w:lang w:val="en-GB"/>
        </w:rPr>
        <w:t>Nanomaterials for biomedical applications – development of novel signal amplification strategies</w:t>
      </w:r>
    </w:p>
    <w:p w:rsidR="00ED1335" w:rsidRDefault="00ED1335" w:rsidP="00A66F2F">
      <w:pPr>
        <w:rPr>
          <w:b/>
          <w:sz w:val="36"/>
          <w:szCs w:val="36"/>
        </w:rPr>
      </w:pPr>
    </w:p>
    <w:p w:rsidR="00647884" w:rsidRPr="002A071C" w:rsidRDefault="00647884" w:rsidP="00A66F2F">
      <w:pPr>
        <w:rPr>
          <w:b/>
          <w:sz w:val="36"/>
          <w:szCs w:val="36"/>
        </w:rPr>
      </w:pPr>
      <w:r w:rsidRPr="002A071C">
        <w:rPr>
          <w:b/>
          <w:sz w:val="36"/>
          <w:szCs w:val="36"/>
        </w:rPr>
        <w:t>Comments</w:t>
      </w:r>
    </w:p>
    <w:p w:rsidR="00A66F2F" w:rsidRPr="00404C9D" w:rsidRDefault="00404C9D" w:rsidP="00E21BF3">
      <w:pPr>
        <w:jc w:val="both"/>
      </w:pPr>
      <w:r w:rsidRPr="00404C9D">
        <w:t>Instrument will be used for fabrication of active biosensor surfaces on glass or polymeric materials. It will enable to print a micrometer sized, high surface density spots from proteins, nucleic acids or cells on flat substrates under controlled conditions as are temperature or air humidity. Microarray printer will be used in combination with techniques recently available at UJEP (microfluidic fabrication, EBL and UV lithography etc.) for development of miniaturized highly parallel microfluidic optical biosensor devices for environmental or biomedical diagnostic application</w:t>
      </w:r>
      <w:r w:rsidR="003B72A1">
        <w:t>s</w:t>
      </w:r>
      <w:r w:rsidRPr="00404C9D">
        <w:t>.</w:t>
      </w:r>
      <w:r>
        <w:t xml:space="preserve"> Thus, the existing competences of RI in the area of biosensors development will be greatly enhanced.</w:t>
      </w:r>
      <w:r w:rsidR="00E21BF3" w:rsidRPr="00E21BF3">
        <w:t xml:space="preserve"> It will also open further possibilities for application oriented research and contracted research which will be opened for partners of infrastructure consortium.           </w:t>
      </w:r>
      <w:r>
        <w:t xml:space="preserve">  </w:t>
      </w:r>
    </w:p>
    <w:p w:rsidR="00A66F2F" w:rsidRPr="00A66F2F" w:rsidRDefault="00A66F2F" w:rsidP="00A66F2F">
      <w:pPr>
        <w:rPr>
          <w:sz w:val="36"/>
          <w:szCs w:val="36"/>
        </w:rPr>
      </w:pPr>
    </w:p>
    <w:p w:rsidR="00A66F2F" w:rsidRPr="00A66F2F" w:rsidRDefault="00A66F2F" w:rsidP="00A66F2F">
      <w:pPr>
        <w:rPr>
          <w:sz w:val="36"/>
          <w:szCs w:val="36"/>
        </w:rPr>
      </w:pPr>
    </w:p>
    <w:sectPr w:rsidR="00A66F2F" w:rsidRPr="00A6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470ED"/>
    <w:multiLevelType w:val="multilevel"/>
    <w:tmpl w:val="09C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0001E9"/>
    <w:multiLevelType w:val="multilevel"/>
    <w:tmpl w:val="CDD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B7365"/>
    <w:multiLevelType w:val="multilevel"/>
    <w:tmpl w:val="5D54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0D35EE"/>
    <w:multiLevelType w:val="multilevel"/>
    <w:tmpl w:val="2E3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A6F37"/>
    <w:multiLevelType w:val="multilevel"/>
    <w:tmpl w:val="CEB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2B0B7F"/>
    <w:multiLevelType w:val="multilevel"/>
    <w:tmpl w:val="6BF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2F"/>
    <w:rsid w:val="000163BD"/>
    <w:rsid w:val="00072438"/>
    <w:rsid w:val="0009683E"/>
    <w:rsid w:val="000D3361"/>
    <w:rsid w:val="00141189"/>
    <w:rsid w:val="00144F6C"/>
    <w:rsid w:val="001666D6"/>
    <w:rsid w:val="001E1289"/>
    <w:rsid w:val="00200954"/>
    <w:rsid w:val="00250847"/>
    <w:rsid w:val="002560C4"/>
    <w:rsid w:val="002A071C"/>
    <w:rsid w:val="002D34CF"/>
    <w:rsid w:val="003171A0"/>
    <w:rsid w:val="003455FD"/>
    <w:rsid w:val="00396353"/>
    <w:rsid w:val="003B72A1"/>
    <w:rsid w:val="003C2D77"/>
    <w:rsid w:val="00404C9D"/>
    <w:rsid w:val="00412FAE"/>
    <w:rsid w:val="004C3F67"/>
    <w:rsid w:val="004C6F37"/>
    <w:rsid w:val="00515E9F"/>
    <w:rsid w:val="005305F6"/>
    <w:rsid w:val="005A1001"/>
    <w:rsid w:val="00625EAE"/>
    <w:rsid w:val="00641C65"/>
    <w:rsid w:val="00647884"/>
    <w:rsid w:val="00671C85"/>
    <w:rsid w:val="00671EC4"/>
    <w:rsid w:val="00687B44"/>
    <w:rsid w:val="0069705D"/>
    <w:rsid w:val="006C723D"/>
    <w:rsid w:val="00705EBF"/>
    <w:rsid w:val="0075065C"/>
    <w:rsid w:val="0079583D"/>
    <w:rsid w:val="007B4790"/>
    <w:rsid w:val="007C4177"/>
    <w:rsid w:val="007F3100"/>
    <w:rsid w:val="007F5F97"/>
    <w:rsid w:val="00822D00"/>
    <w:rsid w:val="0086289B"/>
    <w:rsid w:val="00890AC5"/>
    <w:rsid w:val="008E32CC"/>
    <w:rsid w:val="0090750B"/>
    <w:rsid w:val="009124E8"/>
    <w:rsid w:val="00927910"/>
    <w:rsid w:val="0093689C"/>
    <w:rsid w:val="009A66F7"/>
    <w:rsid w:val="009C2AFC"/>
    <w:rsid w:val="009F2EE7"/>
    <w:rsid w:val="00A01B8C"/>
    <w:rsid w:val="00A35843"/>
    <w:rsid w:val="00A66F2F"/>
    <w:rsid w:val="00A73AB5"/>
    <w:rsid w:val="00AC6FBB"/>
    <w:rsid w:val="00AD1F65"/>
    <w:rsid w:val="00B243F6"/>
    <w:rsid w:val="00B5358E"/>
    <w:rsid w:val="00BF2F98"/>
    <w:rsid w:val="00BF40A5"/>
    <w:rsid w:val="00C65F02"/>
    <w:rsid w:val="00C81BBC"/>
    <w:rsid w:val="00CD6187"/>
    <w:rsid w:val="00D0431F"/>
    <w:rsid w:val="00D50BDB"/>
    <w:rsid w:val="00E21BF3"/>
    <w:rsid w:val="00E26270"/>
    <w:rsid w:val="00E4682E"/>
    <w:rsid w:val="00E678DE"/>
    <w:rsid w:val="00EA0554"/>
    <w:rsid w:val="00EB72D9"/>
    <w:rsid w:val="00EB774B"/>
    <w:rsid w:val="00ED1335"/>
    <w:rsid w:val="00F01C9F"/>
    <w:rsid w:val="00F817BC"/>
    <w:rsid w:val="00FC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F2F"/>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F6"/>
    <w:rPr>
      <w:rFonts w:ascii="Tahoma" w:hAnsi="Tahoma" w:cs="Tahoma"/>
      <w:sz w:val="16"/>
      <w:szCs w:val="16"/>
    </w:rPr>
  </w:style>
  <w:style w:type="character" w:styleId="Hyperlink">
    <w:name w:val="Hyperlink"/>
    <w:basedOn w:val="DefaultParagraphFont"/>
    <w:uiPriority w:val="99"/>
    <w:unhideWhenUsed/>
    <w:rsid w:val="0009683E"/>
    <w:rPr>
      <w:color w:val="0000FF" w:themeColor="hyperlink"/>
      <w:u w:val="single"/>
    </w:rPr>
  </w:style>
  <w:style w:type="character" w:customStyle="1" w:styleId="shorttext">
    <w:name w:val="short_text"/>
    <w:basedOn w:val="DefaultParagraphFont"/>
    <w:rsid w:val="0009683E"/>
  </w:style>
  <w:style w:type="character" w:customStyle="1" w:styleId="hps">
    <w:name w:val="hps"/>
    <w:basedOn w:val="DefaultParagraphFont"/>
    <w:rsid w:val="0009683E"/>
  </w:style>
  <w:style w:type="paragraph" w:styleId="ListParagraph">
    <w:name w:val="List Paragraph"/>
    <w:basedOn w:val="Normal"/>
    <w:uiPriority w:val="34"/>
    <w:qFormat/>
    <w:rsid w:val="0009683E"/>
    <w:pPr>
      <w:spacing w:after="160" w:line="259" w:lineRule="auto"/>
      <w:ind w:left="720"/>
      <w:contextualSpacing/>
    </w:pPr>
    <w:rPr>
      <w:lang w:val="cs-CZ"/>
    </w:rPr>
  </w:style>
  <w:style w:type="paragraph" w:styleId="NormalWeb">
    <w:name w:val="Normal (Web)"/>
    <w:basedOn w:val="Normal"/>
    <w:uiPriority w:val="99"/>
    <w:semiHidden/>
    <w:unhideWhenUsed/>
    <w:rsid w:val="0009683E"/>
    <w:pPr>
      <w:spacing w:before="100" w:beforeAutospacing="1" w:after="100" w:afterAutospacing="1" w:line="240" w:lineRule="auto"/>
    </w:pPr>
    <w:rPr>
      <w:rFonts w:ascii="Times New Roman" w:eastAsiaTheme="minorEastAsia" w:hAnsi="Times New Roman" w:cs="Times New Roman"/>
      <w:sz w:val="24"/>
      <w:szCs w:val="24"/>
      <w:lang w:val="cs-CZ" w:eastAsia="cs-CZ"/>
    </w:rPr>
  </w:style>
  <w:style w:type="character" w:styleId="Strong">
    <w:name w:val="Strong"/>
    <w:basedOn w:val="DefaultParagraphFont"/>
    <w:uiPriority w:val="22"/>
    <w:qFormat/>
    <w:rsid w:val="0009683E"/>
    <w:rPr>
      <w:b/>
      <w:bCs/>
      <w:color w:val="0059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F2F"/>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F6"/>
    <w:rPr>
      <w:rFonts w:ascii="Tahoma" w:hAnsi="Tahoma" w:cs="Tahoma"/>
      <w:sz w:val="16"/>
      <w:szCs w:val="16"/>
    </w:rPr>
  </w:style>
  <w:style w:type="character" w:styleId="Hyperlink">
    <w:name w:val="Hyperlink"/>
    <w:basedOn w:val="DefaultParagraphFont"/>
    <w:uiPriority w:val="99"/>
    <w:unhideWhenUsed/>
    <w:rsid w:val="0009683E"/>
    <w:rPr>
      <w:color w:val="0000FF" w:themeColor="hyperlink"/>
      <w:u w:val="single"/>
    </w:rPr>
  </w:style>
  <w:style w:type="character" w:customStyle="1" w:styleId="shorttext">
    <w:name w:val="short_text"/>
    <w:basedOn w:val="DefaultParagraphFont"/>
    <w:rsid w:val="0009683E"/>
  </w:style>
  <w:style w:type="character" w:customStyle="1" w:styleId="hps">
    <w:name w:val="hps"/>
    <w:basedOn w:val="DefaultParagraphFont"/>
    <w:rsid w:val="0009683E"/>
  </w:style>
  <w:style w:type="paragraph" w:styleId="ListParagraph">
    <w:name w:val="List Paragraph"/>
    <w:basedOn w:val="Normal"/>
    <w:uiPriority w:val="34"/>
    <w:qFormat/>
    <w:rsid w:val="0009683E"/>
    <w:pPr>
      <w:spacing w:after="160" w:line="259" w:lineRule="auto"/>
      <w:ind w:left="720"/>
      <w:contextualSpacing/>
    </w:pPr>
    <w:rPr>
      <w:lang w:val="cs-CZ"/>
    </w:rPr>
  </w:style>
  <w:style w:type="paragraph" w:styleId="NormalWeb">
    <w:name w:val="Normal (Web)"/>
    <w:basedOn w:val="Normal"/>
    <w:uiPriority w:val="99"/>
    <w:semiHidden/>
    <w:unhideWhenUsed/>
    <w:rsid w:val="0009683E"/>
    <w:pPr>
      <w:spacing w:before="100" w:beforeAutospacing="1" w:after="100" w:afterAutospacing="1" w:line="240" w:lineRule="auto"/>
    </w:pPr>
    <w:rPr>
      <w:rFonts w:ascii="Times New Roman" w:eastAsiaTheme="minorEastAsia" w:hAnsi="Times New Roman" w:cs="Times New Roman"/>
      <w:sz w:val="24"/>
      <w:szCs w:val="24"/>
      <w:lang w:val="cs-CZ" w:eastAsia="cs-CZ"/>
    </w:rPr>
  </w:style>
  <w:style w:type="character" w:styleId="Strong">
    <w:name w:val="Strong"/>
    <w:basedOn w:val="DefaultParagraphFont"/>
    <w:uiPriority w:val="22"/>
    <w:qFormat/>
    <w:rsid w:val="0009683E"/>
    <w:rPr>
      <w:b/>
      <w:bCs/>
      <w:color w:val="0059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710820">
      <w:bodyDiv w:val="1"/>
      <w:marLeft w:val="0"/>
      <w:marRight w:val="0"/>
      <w:marTop w:val="0"/>
      <w:marBottom w:val="0"/>
      <w:divBdr>
        <w:top w:val="none" w:sz="0" w:space="0" w:color="auto"/>
        <w:left w:val="none" w:sz="0" w:space="0" w:color="auto"/>
        <w:bottom w:val="none" w:sz="0" w:space="0" w:color="auto"/>
        <w:right w:val="none" w:sz="0" w:space="0" w:color="auto"/>
      </w:divBdr>
    </w:div>
    <w:div w:id="1625501567">
      <w:bodyDiv w:val="1"/>
      <w:marLeft w:val="0"/>
      <w:marRight w:val="0"/>
      <w:marTop w:val="0"/>
      <w:marBottom w:val="0"/>
      <w:divBdr>
        <w:top w:val="none" w:sz="0" w:space="0" w:color="auto"/>
        <w:left w:val="none" w:sz="0" w:space="0" w:color="auto"/>
        <w:bottom w:val="none" w:sz="0" w:space="0" w:color="auto"/>
        <w:right w:val="none" w:sz="0" w:space="0" w:color="auto"/>
      </w:divBdr>
    </w:div>
    <w:div w:id="1660227816">
      <w:bodyDiv w:val="1"/>
      <w:marLeft w:val="0"/>
      <w:marRight w:val="0"/>
      <w:marTop w:val="0"/>
      <w:marBottom w:val="0"/>
      <w:divBdr>
        <w:top w:val="none" w:sz="0" w:space="0" w:color="auto"/>
        <w:left w:val="none" w:sz="0" w:space="0" w:color="auto"/>
        <w:bottom w:val="none" w:sz="0" w:space="0" w:color="auto"/>
        <w:right w:val="none" w:sz="0" w:space="0" w:color="auto"/>
      </w:divBdr>
      <w:divsChild>
        <w:div w:id="1213233041">
          <w:marLeft w:val="0"/>
          <w:marRight w:val="0"/>
          <w:marTop w:val="0"/>
          <w:marBottom w:val="0"/>
          <w:divBdr>
            <w:top w:val="none" w:sz="0" w:space="0" w:color="auto"/>
            <w:left w:val="none" w:sz="0" w:space="0" w:color="auto"/>
            <w:bottom w:val="none" w:sz="0" w:space="0" w:color="auto"/>
            <w:right w:val="none" w:sz="0" w:space="0" w:color="auto"/>
          </w:divBdr>
          <w:divsChild>
            <w:div w:id="1312566177">
              <w:marLeft w:val="0"/>
              <w:marRight w:val="0"/>
              <w:marTop w:val="0"/>
              <w:marBottom w:val="0"/>
              <w:divBdr>
                <w:top w:val="none" w:sz="0" w:space="0" w:color="auto"/>
                <w:left w:val="none" w:sz="0" w:space="0" w:color="auto"/>
                <w:bottom w:val="none" w:sz="0" w:space="0" w:color="auto"/>
                <w:right w:val="none" w:sz="0" w:space="0" w:color="auto"/>
              </w:divBdr>
            </w:div>
          </w:divsChild>
        </w:div>
        <w:div w:id="1723554954">
          <w:marLeft w:val="0"/>
          <w:marRight w:val="0"/>
          <w:marTop w:val="0"/>
          <w:marBottom w:val="0"/>
          <w:divBdr>
            <w:top w:val="none" w:sz="0" w:space="0" w:color="auto"/>
            <w:left w:val="none" w:sz="0" w:space="0" w:color="auto"/>
            <w:bottom w:val="none" w:sz="0" w:space="0" w:color="auto"/>
            <w:right w:val="none" w:sz="0" w:space="0" w:color="auto"/>
          </w:divBdr>
          <w:divsChild>
            <w:div w:id="331615409">
              <w:marLeft w:val="0"/>
              <w:marRight w:val="0"/>
              <w:marTop w:val="0"/>
              <w:marBottom w:val="0"/>
              <w:divBdr>
                <w:top w:val="none" w:sz="0" w:space="0" w:color="auto"/>
                <w:left w:val="none" w:sz="0" w:space="0" w:color="auto"/>
                <w:bottom w:val="none" w:sz="0" w:space="0" w:color="auto"/>
                <w:right w:val="none" w:sz="0" w:space="0" w:color="auto"/>
              </w:divBdr>
            </w:div>
          </w:divsChild>
        </w:div>
        <w:div w:id="1247575847">
          <w:marLeft w:val="0"/>
          <w:marRight w:val="0"/>
          <w:marTop w:val="0"/>
          <w:marBottom w:val="0"/>
          <w:divBdr>
            <w:top w:val="none" w:sz="0" w:space="0" w:color="auto"/>
            <w:left w:val="none" w:sz="0" w:space="0" w:color="auto"/>
            <w:bottom w:val="none" w:sz="0" w:space="0" w:color="auto"/>
            <w:right w:val="none" w:sz="0" w:space="0" w:color="auto"/>
          </w:divBdr>
        </w:div>
        <w:div w:id="70525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0CCBF-1BF3-4E4F-B28A-512B6968C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862</Words>
  <Characters>4920</Characters>
  <Application>Microsoft Office Word</Application>
  <DocSecurity>0</DocSecurity>
  <Lines>41</Lines>
  <Paragraphs>11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Minhova Macounova</dc:creator>
  <cp:lastModifiedBy>Katerina Minhova Macounova</cp:lastModifiedBy>
  <cp:revision>2</cp:revision>
  <cp:lastPrinted>2016-02-04T12:24:00Z</cp:lastPrinted>
  <dcterms:created xsi:type="dcterms:W3CDTF">2017-08-31T13:22:00Z</dcterms:created>
  <dcterms:modified xsi:type="dcterms:W3CDTF">2017-08-31T13:22:00Z</dcterms:modified>
</cp:coreProperties>
</file>