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Functional 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Employees, Supervisors, Drivers Tables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empName, empRegion, empPhone, empHours_worked, salary, licenseNo, wage,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supervisorId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Customers Table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cName, cRegion, cPhone, cAddress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Orders Table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orderId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total, cId, time_made, rId, empId, time_delivered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Restaurants Table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rName, rCuisine, rRegion, rPhone, rAddress, rContract_date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MenuItems table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rId, itemName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itemPrice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Orderline table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OrderId, orderlineId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rId, itemName, qty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determinants are superkeys to their respective tables, therefore all relations are in BCNF form.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