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60" w:before="0" w:line="300"/>
        <w:jc w:val="center"/>
      </w:pPr>
      <w:r>
        <w:rPr>
          <w:rFonts w:ascii="Calibri" w:cs="Calibri" w:hAnsi="Calibri"/>
          <w:b/>
          <w:bCs/>
          <w:sz w:val="30"/>
          <w:szCs w:val="34"/>
          <w:rtl w:val="false"/>
        </w:rPr>
        <w:t xml:space="preserve">Questionnaire: importance of preventing waste-container overflow in different urban zones</w:t>
      </w:r>
    </w:p>
    <w:p>
      <w:pPr>
        <w:bidi w:val="false"/>
        <w:spacing w:after="240" w:before="0" w:line="300"/>
        <w:jc w:val="center"/>
      </w:pPr>
      <w:r>
        <w:rPr>
          <w:rFonts w:ascii="Calibri" w:cs="Calibri" w:hAnsi="Calibri"/>
          <w:color w:val="444444"/>
          <w:sz w:val="24"/>
          <w:szCs w:val="28"/>
          <w:rtl w:val="false"/>
        </w:rPr>
        <w:t xml:space="preserve">Best–Worst Method (BWM) — Tehran District 6</w:t>
      </w:r>
    </w:p>
    <w:p>
      <w:pPr>
        <w:bidi w:val="false"/>
        <w:spacing w:after="120" w:before="0" w:line="300"/>
        <w:jc w:val="both"/>
      </w:pPr>
      <w:r>
        <w:rPr>
          <w:rFonts w:ascii="Calibri" w:cs="Calibri" w:hAnsi="Calibri"/>
          <w:sz w:val="22"/>
          <w:szCs w:val="26"/>
          <w:rtl w:val="false"/>
        </w:rPr>
        <w:t xml:space="preserve">Dear expert, this questionnaire is part of a study at Amirkabir University of Technology on smart municipal waste collection. It asks how important it is to prevent full or overflowing containers in each type of urban zone, so that collection plans can give priority to more sensitive zones.</w:t>
      </w:r>
    </w:p>
    <w:p>
      <w:pPr>
        <w:bidi w:val="false"/>
        <w:spacing w:after="120" w:before="0" w:line="300"/>
        <w:jc w:val="both"/>
      </w:pPr>
      <w:r>
        <w:rPr>
          <w:rFonts w:ascii="Calibri" w:cs="Calibri" w:hAnsi="Calibri"/>
          <w:sz w:val="22"/>
          <w:szCs w:val="26"/>
          <w:rtl w:val="false"/>
        </w:rPr>
        <w:t xml:space="preserve">It takes about 15 minutes. Participation is voluntary, responses are analysed anonymously, and only aggregate results will be published.</w:t>
      </w:r>
    </w:p>
    <w:p>
      <w:pPr>
        <w:bidi w:val="false"/>
        <w:spacing w:after="200" w:before="60" w:line="300"/>
        <w:jc w:val="both"/>
      </w:pPr>
      <w:r>
        <w:rPr>
          <w:rFonts w:ascii="Calibri" w:cs="Calibri" w:hAnsi="Calibri"/>
          <w:b/>
          <w:bCs/>
          <w:sz w:val="22"/>
          <w:szCs w:val="26"/>
          <w:rtl w:val="false"/>
        </w:rPr>
        <w:t xml:space="preserve">☐ I agree to take part in this study and to the anonymous use of my answers.</w:t>
      </w:r>
    </w:p>
    <w:p>
      <w:pPr>
        <w:keepNext/>
        <w:bidi w:val="false"/>
        <w:spacing w:after="100" w:before="200" w:line="300"/>
        <w:jc w:val="both"/>
      </w:pPr>
      <w:r>
        <w:rPr>
          <w:rFonts w:ascii="Calibri" w:cs="Calibri" w:hAnsi="Calibri"/>
          <w:b/>
          <w:bCs/>
          <w:sz w:val="28"/>
          <w:szCs w:val="32"/>
          <w:rtl w:val="false"/>
        </w:rPr>
        <w:t xml:space="preserve">Part 1: About you</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Question</w:t>
            </w:r>
          </w:p>
        </w:tc>
        <w:tc>
          <w:tcPr>
            <w:tcW w:type="dxa" w:w="6438"/>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Answer</w:t>
            </w:r>
          </w:p>
        </w:tc>
      </w:tr>
      <w:tr>
        <w:trPr>
          <w:tblHeader w:val="false"/>
        </w:trPr>
        <w:tc>
          <w:tcPr>
            <w:tcW w:type="dxa" w:w="32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Organisation</w:t>
            </w:r>
          </w:p>
        </w:tc>
        <w:tc>
          <w:tcPr>
            <w:tcW w:type="dxa" w:w="64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Municipality   ☐ Waste Management Organization   ☐ University   ☐ Contractor   ☐ Other: ......</w:t>
            </w:r>
          </w:p>
        </w:tc>
      </w:tr>
      <w:tr>
        <w:trPr>
          <w:tblHeader w:val="false"/>
        </w:trPr>
        <w:tc>
          <w:tcPr>
            <w:tcW w:type="dxa" w:w="32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Position / role</w:t>
            </w:r>
          </w:p>
        </w:tc>
        <w:tc>
          <w:tcPr>
            <w:tcW w:type="dxa" w:w="64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32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Relevant experience</w:t>
            </w:r>
          </w:p>
        </w:tc>
        <w:tc>
          <w:tcPr>
            <w:tcW w:type="dxa" w:w="64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&lt; 5 years   ☐ 5–10   ☐ 10–20   ☐ &gt; 20 years</w:t>
            </w:r>
          </w:p>
        </w:tc>
      </w:tr>
      <w:tr>
        <w:trPr>
          <w:tblHeader w:val="false"/>
        </w:trPr>
        <w:tc>
          <w:tcPr>
            <w:tcW w:type="dxa" w:w="32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Education</w:t>
            </w:r>
          </w:p>
        </w:tc>
        <w:tc>
          <w:tcPr>
            <w:tcW w:type="dxa" w:w="64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BSc   ☐ MSc   ☐ PhD   ☐ Other</w:t>
            </w:r>
          </w:p>
        </w:tc>
      </w:tr>
      <w:tr>
        <w:trPr>
          <w:tblHeader w:val="false"/>
        </w:trPr>
        <w:tc>
          <w:tcPr>
            <w:tcW w:type="dxa" w:w="32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Familiarity with District 6 (1 = low, 5 = high)</w:t>
            </w:r>
          </w:p>
        </w:tc>
        <w:tc>
          <w:tcPr>
            <w:tcW w:type="dxa" w:w="64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1   ☐ 2   ☐ 3   ☐ 4   ☐ 5</w:t>
            </w:r>
          </w:p>
        </w:tc>
      </w:tr>
    </w:tbl>
    <w:p>
      <w:pPr>
        <w:keepNext/>
        <w:bidi w:val="false"/>
        <w:spacing w:after="100" w:before="200" w:line="300"/>
        <w:jc w:val="both"/>
      </w:pPr>
      <w:r>
        <w:rPr>
          <w:rFonts w:ascii="Calibri" w:cs="Calibri" w:hAnsi="Calibri"/>
          <w:b/>
          <w:bCs/>
          <w:sz w:val="28"/>
          <w:szCs w:val="32"/>
          <w:rtl w:val="false"/>
        </w:rPr>
        <w:t xml:space="preserve">Part 2: Urban zones</w:t>
      </w:r>
    </w:p>
    <w:p>
      <w:pPr>
        <w:bidi w:val="false"/>
        <w:spacing w:after="120" w:before="0" w:line="300"/>
        <w:jc w:val="both"/>
      </w:pPr>
      <w:r>
        <w:rPr>
          <w:rFonts w:ascii="Calibri" w:cs="Calibri" w:hAnsi="Calibri"/>
          <w:sz w:val="22"/>
          <w:szCs w:val="26"/>
          <w:rtl w:val="false"/>
        </w:rPr>
        <w:t xml:space="preserve">“Sensitivity to overflow” means how serious the consequences of an overflowing container are in that zone: health, visual, citizen dissatisfaction, and damage to the city's image.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6238"/>
      </w:tblGrid>
      <w:tr>
        <w:trPr>
          <w:tblHeader/>
        </w:trPr>
        <w:tc>
          <w:tcPr>
            <w:tcW w:type="dxa" w:w="700"/>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No.</w:t>
            </w:r>
          </w:p>
        </w:tc>
        <w:tc>
          <w:tcPr>
            <w:tcW w:type="dxa" w:w="2700"/>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Zone</w:t>
            </w:r>
          </w:p>
        </w:tc>
        <w:tc>
          <w:tcPr>
            <w:tcW w:type="dxa" w:w="6238"/>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Examples in District 6</w:t>
            </w:r>
          </w:p>
        </w:tc>
      </w:tr>
      <w:tr>
        <w:trPr>
          <w:tblHeader w:val="false"/>
        </w:trPr>
        <w:tc>
          <w:tcPr>
            <w:tcW w:type="dxa" w:w="7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1</w:t>
            </w:r>
          </w:p>
        </w:tc>
        <w:tc>
          <w:tcPr>
            <w:tcW w:type="dxa" w:w="27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Residential</w:t>
            </w:r>
          </w:p>
        </w:tc>
        <w:tc>
          <w:tcPr>
            <w:tcW w:type="dxa" w:w="62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Residential alleys and apartment blocks (e.g. Yousef-Abad, Amir-Abad)</w:t>
            </w:r>
          </w:p>
        </w:tc>
      </w:tr>
      <w:tr>
        <w:trPr>
          <w:tblHeader w:val="false"/>
        </w:trPr>
        <w:tc>
          <w:tcPr>
            <w:tcW w:type="dxa" w:w="7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2</w:t>
            </w:r>
          </w:p>
        </w:tc>
        <w:tc>
          <w:tcPr>
            <w:tcW w:type="dxa" w:w="27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Commercial</w:t>
            </w:r>
          </w:p>
        </w:tc>
        <w:tc>
          <w:tcPr>
            <w:tcW w:type="dxa" w:w="62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Commercial streets and shopping centres</w:t>
            </w:r>
          </w:p>
        </w:tc>
      </w:tr>
      <w:tr>
        <w:trPr>
          <w:tblHeader w:val="false"/>
        </w:trPr>
        <w:tc>
          <w:tcPr>
            <w:tcW w:type="dxa" w:w="7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3</w:t>
            </w:r>
          </w:p>
        </w:tc>
        <w:tc>
          <w:tcPr>
            <w:tcW w:type="dxa" w:w="27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Recreational / tourist</w:t>
            </w:r>
          </w:p>
        </w:tc>
        <w:tc>
          <w:tcPr>
            <w:tcW w:type="dxa" w:w="62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Parks (e.g. Laleh Park, Saei Park)</w:t>
            </w:r>
          </w:p>
        </w:tc>
      </w:tr>
      <w:tr>
        <w:trPr>
          <w:tblHeader w:val="false"/>
        </w:trPr>
        <w:tc>
          <w:tcPr>
            <w:tcW w:type="dxa" w:w="7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4</w:t>
            </w:r>
          </w:p>
        </w:tc>
        <w:tc>
          <w:tcPr>
            <w:tcW w:type="dxa" w:w="27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Governmental / diplomatic</w:t>
            </w:r>
          </w:p>
        </w:tc>
        <w:tc>
          <w:tcPr>
            <w:tcW w:type="dxa" w:w="62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Ministries, embassies, government buildings</w:t>
            </w:r>
          </w:p>
        </w:tc>
      </w:tr>
      <w:tr>
        <w:trPr>
          <w:tblHeader w:val="false"/>
        </w:trPr>
        <w:tc>
          <w:tcPr>
            <w:tcW w:type="dxa" w:w="7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5</w:t>
            </w:r>
          </w:p>
        </w:tc>
        <w:tc>
          <w:tcPr>
            <w:tcW w:type="dxa" w:w="27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Historical / cultural</w:t>
            </w:r>
          </w:p>
        </w:tc>
        <w:tc>
          <w:tcPr>
            <w:tcW w:type="dxa" w:w="62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Museums and cultural or historic buildings (e.g. Museum of Contemporary Art)</w:t>
            </w:r>
          </w:p>
        </w:tc>
      </w:tr>
      <w:tr>
        <w:trPr>
          <w:tblHeader w:val="false"/>
        </w:trPr>
        <w:tc>
          <w:tcPr>
            <w:tcW w:type="dxa" w:w="7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6</w:t>
            </w:r>
          </w:p>
        </w:tc>
        <w:tc>
          <w:tcPr>
            <w:tcW w:type="dxa" w:w="27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Educational / medical</w:t>
            </w:r>
          </w:p>
        </w:tc>
        <w:tc>
          <w:tcPr>
            <w:tcW w:type="dxa" w:w="62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Universities, schools, hospitals (e.g. University of Tehran)</w:t>
            </w:r>
          </w:p>
        </w:tc>
      </w:tr>
      <w:tr>
        <w:trPr>
          <w:tblHeader w:val="false"/>
        </w:trPr>
        <w:tc>
          <w:tcPr>
            <w:tcW w:type="dxa" w:w="7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7</w:t>
            </w:r>
          </w:p>
        </w:tc>
        <w:tc>
          <w:tcPr>
            <w:tcW w:type="dxa" w:w="27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Industrial / workshops</w:t>
            </w:r>
          </w:p>
        </w:tc>
        <w:tc>
          <w:tcPr>
            <w:tcW w:type="dxa" w:w="62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Workshops, repair shops, warehouses</w:t>
            </w:r>
          </w:p>
        </w:tc>
      </w:tr>
    </w:tbl>
    <w:p>
      <w:pPr>
        <w:keepNext/>
        <w:bidi w:val="false"/>
        <w:spacing w:after="100" w:before="200" w:line="300"/>
        <w:jc w:val="both"/>
      </w:pPr>
      <w:r>
        <w:rPr>
          <w:rFonts w:ascii="Calibri" w:cs="Calibri" w:hAnsi="Calibri"/>
          <w:b/>
          <w:bCs/>
          <w:sz w:val="28"/>
          <w:szCs w:val="32"/>
          <w:rtl w:val="false"/>
        </w:rPr>
        <w:t xml:space="preserve">Part 3: Best–Worst comparisons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Value</w:t>
            </w:r>
          </w:p>
        </w:tc>
        <w:tc>
          <w:tcPr>
            <w:tcW w:type="dxa" w:w="7638"/>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Meaning</w:t>
            </w:r>
          </w:p>
        </w:tc>
      </w:tr>
      <w:tr>
        <w:trPr>
          <w:tblHeader w:val="false"/>
        </w:trPr>
        <w:tc>
          <w:tcPr>
            <w:tcW w:type="dxa" w:w="2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1</w:t>
            </w:r>
          </w:p>
        </w:tc>
        <w:tc>
          <w:tcPr>
            <w:tcW w:type="dxa" w:w="7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Equal</w:t>
            </w:r>
          </w:p>
        </w:tc>
      </w:tr>
      <w:tr>
        <w:trPr>
          <w:tblHeader w:val="false"/>
        </w:trPr>
        <w:tc>
          <w:tcPr>
            <w:tcW w:type="dxa" w:w="2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3</w:t>
            </w:r>
          </w:p>
        </w:tc>
        <w:tc>
          <w:tcPr>
            <w:tcW w:type="dxa" w:w="7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Moderately more</w:t>
            </w:r>
          </w:p>
        </w:tc>
      </w:tr>
      <w:tr>
        <w:trPr>
          <w:tblHeader w:val="false"/>
        </w:trPr>
        <w:tc>
          <w:tcPr>
            <w:tcW w:type="dxa" w:w="2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5</w:t>
            </w:r>
          </w:p>
        </w:tc>
        <w:tc>
          <w:tcPr>
            <w:tcW w:type="dxa" w:w="7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Strongly more</w:t>
            </w:r>
          </w:p>
        </w:tc>
      </w:tr>
      <w:tr>
        <w:trPr>
          <w:tblHeader w:val="false"/>
        </w:trPr>
        <w:tc>
          <w:tcPr>
            <w:tcW w:type="dxa" w:w="2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7</w:t>
            </w:r>
          </w:p>
        </w:tc>
        <w:tc>
          <w:tcPr>
            <w:tcW w:type="dxa" w:w="7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Very strongly more</w:t>
            </w:r>
          </w:p>
        </w:tc>
      </w:tr>
      <w:tr>
        <w:trPr>
          <w:tblHeader w:val="false"/>
        </w:trPr>
        <w:tc>
          <w:tcPr>
            <w:tcW w:type="dxa" w:w="2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9</w:t>
            </w:r>
          </w:p>
        </w:tc>
        <w:tc>
          <w:tcPr>
            <w:tcW w:type="dxa" w:w="7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Extremely more</w:t>
            </w:r>
          </w:p>
        </w:tc>
      </w:tr>
      <w:tr>
        <w:trPr>
          <w:tblHeader w:val="false"/>
        </w:trPr>
        <w:tc>
          <w:tcPr>
            <w:tcW w:type="dxa" w:w="2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2, 4, 6, 8</w:t>
            </w:r>
          </w:p>
        </w:tc>
        <w:tc>
          <w:tcPr>
            <w:tcW w:type="dxa" w:w="7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Intermediate values</w:t>
            </w:r>
          </w:p>
        </w:tc>
      </w:tr>
    </w:tbl>
    <w:p>
      <w:pPr>
        <w:bidi w:val="false"/>
        <w:spacing w:after="60" w:before="0" w:line="300"/>
        <w:jc w:val="both"/>
      </w:pPr>
      <w:r>
        <w:rPr>
          <w:rFonts w:ascii="Calibri" w:cs="Calibri" w:hAnsi="Calibri"/>
          <w:sz w:val="22"/>
          <w:szCs w:val="26"/>
          <w:rtl w:val="false"/>
        </w:rPr>
        <w:t xml:space="preserve"/>
      </w:r>
    </w:p>
    <w:p>
      <w:pPr>
        <w:bidi w:val="false"/>
        <w:spacing w:after="120" w:before="0" w:line="300"/>
        <w:jc w:val="both"/>
      </w:pPr>
      <w:r>
        <w:rPr>
          <w:rFonts w:ascii="Calibri" w:cs="Calibri" w:hAnsi="Calibri"/>
          <w:b/>
          <w:bCs/>
          <w:sz w:val="22"/>
          <w:szCs w:val="26"/>
          <w:rtl w:val="false"/>
        </w:rPr>
        <w:t xml:space="preserve">Q3.1. In which zone is an overflowing container MOST serious? (best) ..............................</w:t>
      </w:r>
    </w:p>
    <w:p>
      <w:pPr>
        <w:bidi w:val="false"/>
        <w:spacing w:after="120" w:before="0" w:line="300"/>
        <w:jc w:val="both"/>
      </w:pPr>
      <w:r>
        <w:rPr>
          <w:rFonts w:ascii="Calibri" w:cs="Calibri" w:hAnsi="Calibri"/>
          <w:b/>
          <w:bCs/>
          <w:sz w:val="22"/>
          <w:szCs w:val="26"/>
          <w:rtl w:val="false"/>
        </w:rPr>
        <w:t xml:space="preserve">Q3.2. In which zone is it LEAST serious? (worst) ..............................</w:t>
      </w:r>
    </w:p>
    <w:p>
      <w:pPr>
        <w:keepNext/>
        <w:bidi w:val="false"/>
        <w:spacing w:after="120" w:before="0" w:line="300"/>
        <w:jc w:val="both"/>
      </w:pPr>
      <w:r>
        <w:rPr>
          <w:rFonts w:ascii="Calibri" w:cs="Calibri" w:hAnsi="Calibri"/>
          <w:b/>
          <w:bCs/>
          <w:sz w:val="22"/>
          <w:szCs w:val="26"/>
          <w:rtl w:val="false"/>
        </w:rPr>
        <w:t xml:space="preserve">Q3.3. How many times more sensitive is the most sensitive zone (Q3.1) than each zone below? Write a number from 1 to 9.</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6000"/>
      </w:tblGrid>
      <w:tr>
        <w:trPr>
          <w:tblHeader/>
        </w:trPr>
        <w:tc>
          <w:tcPr>
            <w:tcW w:type="dxa" w:w="3638"/>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Zone</w:t>
            </w:r>
          </w:p>
        </w:tc>
        <w:tc>
          <w:tcPr>
            <w:tcW w:type="dxa" w:w="6000"/>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Most sensitive zone compared with this zone (1–9)</w:t>
            </w:r>
          </w:p>
        </w:tc>
      </w:tr>
      <w:tr>
        <w:trPr>
          <w:tblHeader w:val="false"/>
        </w:trPr>
        <w:tc>
          <w:tcPr>
            <w:tcW w:type="dxa" w:w="3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Residential</w:t>
            </w:r>
          </w:p>
        </w:tc>
        <w:tc>
          <w:tcPr>
            <w:tcW w:type="dxa" w:w="6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3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Commercial</w:t>
            </w:r>
          </w:p>
        </w:tc>
        <w:tc>
          <w:tcPr>
            <w:tcW w:type="dxa" w:w="6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3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Recreational / tourist</w:t>
            </w:r>
          </w:p>
        </w:tc>
        <w:tc>
          <w:tcPr>
            <w:tcW w:type="dxa" w:w="6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3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Governmental / diplomatic</w:t>
            </w:r>
          </w:p>
        </w:tc>
        <w:tc>
          <w:tcPr>
            <w:tcW w:type="dxa" w:w="6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3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Historical / cultural</w:t>
            </w:r>
          </w:p>
        </w:tc>
        <w:tc>
          <w:tcPr>
            <w:tcW w:type="dxa" w:w="6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3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Educational / medical</w:t>
            </w:r>
          </w:p>
        </w:tc>
        <w:tc>
          <w:tcPr>
            <w:tcW w:type="dxa" w:w="6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3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Industrial / workshops</w:t>
            </w:r>
          </w:p>
        </w:tc>
        <w:tc>
          <w:tcPr>
            <w:tcW w:type="dxa" w:w="6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bl>
    <w:p>
      <w:pPr>
        <w:bidi w:val="false"/>
        <w:spacing w:after="60" w:before="0" w:line="300"/>
        <w:jc w:val="both"/>
      </w:pPr>
      <w:r>
        <w:rPr>
          <w:rFonts w:ascii="Calibri" w:cs="Calibri" w:hAnsi="Calibri"/>
          <w:sz w:val="22"/>
          <w:szCs w:val="26"/>
          <w:rtl w:val="false"/>
        </w:rPr>
        <w:t xml:space="preserve"/>
      </w:r>
    </w:p>
    <w:p>
      <w:pPr>
        <w:keepNext/>
        <w:bidi w:val="false"/>
        <w:spacing w:after="120" w:before="0" w:line="300"/>
        <w:jc w:val="both"/>
      </w:pPr>
      <w:r>
        <w:rPr>
          <w:rFonts w:ascii="Calibri" w:cs="Calibri" w:hAnsi="Calibri"/>
          <w:b/>
          <w:bCs/>
          <w:sz w:val="22"/>
          <w:szCs w:val="26"/>
          <w:rtl w:val="false"/>
        </w:rPr>
        <w:t xml:space="preserve">Q3.4. How many times more sensitive is each zone below than the least sensitive zone (Q3.2)? Write a number from 1 to 9.</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6000"/>
      </w:tblGrid>
      <w:tr>
        <w:trPr>
          <w:tblHeader/>
        </w:trPr>
        <w:tc>
          <w:tcPr>
            <w:tcW w:type="dxa" w:w="3638"/>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Zone</w:t>
            </w:r>
          </w:p>
        </w:tc>
        <w:tc>
          <w:tcPr>
            <w:tcW w:type="dxa" w:w="6000"/>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This zone compared with the least sensitive zone (1–9)</w:t>
            </w:r>
          </w:p>
        </w:tc>
      </w:tr>
      <w:tr>
        <w:trPr>
          <w:tblHeader w:val="false"/>
        </w:trPr>
        <w:tc>
          <w:tcPr>
            <w:tcW w:type="dxa" w:w="3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Residential</w:t>
            </w:r>
          </w:p>
        </w:tc>
        <w:tc>
          <w:tcPr>
            <w:tcW w:type="dxa" w:w="6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3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Commercial</w:t>
            </w:r>
          </w:p>
        </w:tc>
        <w:tc>
          <w:tcPr>
            <w:tcW w:type="dxa" w:w="6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3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Recreational / tourist</w:t>
            </w:r>
          </w:p>
        </w:tc>
        <w:tc>
          <w:tcPr>
            <w:tcW w:type="dxa" w:w="6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3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Governmental / diplomatic</w:t>
            </w:r>
          </w:p>
        </w:tc>
        <w:tc>
          <w:tcPr>
            <w:tcW w:type="dxa" w:w="6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3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Historical / cultural</w:t>
            </w:r>
          </w:p>
        </w:tc>
        <w:tc>
          <w:tcPr>
            <w:tcW w:type="dxa" w:w="6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3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Educational / medical</w:t>
            </w:r>
          </w:p>
        </w:tc>
        <w:tc>
          <w:tcPr>
            <w:tcW w:type="dxa" w:w="6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3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Industrial / workshops</w:t>
            </w:r>
          </w:p>
        </w:tc>
        <w:tc>
          <w:tcPr>
            <w:tcW w:type="dxa" w:w="60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bl>
    <w:p>
      <w:pPr>
        <w:bidi w:val="false"/>
        <w:spacing w:after="60" w:before="0" w:line="300"/>
        <w:jc w:val="both"/>
      </w:pPr>
      <w:r>
        <w:rPr>
          <w:rFonts w:ascii="Calibri" w:cs="Calibri" w:hAnsi="Calibri"/>
          <w:sz w:val="22"/>
          <w:szCs w:val="26"/>
          <w:rtl w:val="false"/>
        </w:rPr>
        <w:t xml:space="preserve"/>
      </w:r>
    </w:p>
    <w:p>
      <w:pPr>
        <w:pBdr>
          <w:top w:val="single" w:color="C9A227" w:sz="6"/>
        </w:pBdr>
        <w:shd w:fill="FFF4CE" w:color="auto" w:val="clear"/>
        <w:bidi w:val="false"/>
        <w:spacing w:after="40" w:before="0" w:line="300"/>
        <w:jc w:val="both"/>
      </w:pPr>
      <w:r>
        <w:rPr>
          <w:rFonts w:ascii="Calibri" w:cs="Calibri" w:hAnsi="Calibri"/>
          <w:sz w:val="21"/>
          <w:szCs w:val="25"/>
          <w:rtl w:val="false"/>
        </w:rPr>
        <w:t xml:space="preserve">Consistency guide (please check before returning):</w:t>
      </w:r>
    </w:p>
    <w:p>
      <w:pPr>
        <w:shd w:fill="FFF4CE" w:color="auto" w:val="clear"/>
        <w:bidi w:val="false"/>
        <w:spacing w:after="40" w:before="0" w:line="300"/>
        <w:jc w:val="both"/>
      </w:pPr>
      <w:r>
        <w:rPr>
          <w:rFonts w:ascii="Calibri" w:cs="Calibri" w:hAnsi="Calibri"/>
          <w:sz w:val="21"/>
          <w:szCs w:val="25"/>
          <w:rtl w:val="false"/>
        </w:rPr>
        <w:t xml:space="preserve">a) In Q3.3 the most sensitive zone compared with itself is 1; in Q3.4 the least sensitive zone compared with itself is 1.</w:t>
      </w:r>
    </w:p>
    <w:p>
      <w:pPr>
        <w:shd w:fill="FFF4CE" w:color="auto" w:val="clear"/>
        <w:bidi w:val="false"/>
        <w:spacing w:after="40" w:before="0" w:line="300"/>
        <w:jc w:val="both"/>
      </w:pPr>
      <w:r>
        <w:rPr>
          <w:rFonts w:ascii="Calibri" w:cs="Calibri" w:hAnsi="Calibri"/>
          <w:sz w:val="21"/>
          <w:szCs w:val="25"/>
          <w:rtl w:val="false"/>
        </w:rPr>
        <w:t xml:space="preserve">b) The value “most sensitive vs least sensitive” must be the same in both tables.</w:t>
      </w:r>
    </w:p>
    <w:p>
      <w:pPr>
        <w:shd w:fill="FFF4CE" w:color="auto" w:val="clear"/>
        <w:bidi w:val="false"/>
        <w:spacing w:after="40" w:before="0" w:line="300"/>
        <w:jc w:val="both"/>
      </w:pPr>
      <w:r>
        <w:rPr>
          <w:rFonts w:ascii="Calibri" w:cs="Calibri" w:hAnsi="Calibri"/>
          <w:sz w:val="21"/>
          <w:szCs w:val="25"/>
          <w:rtl w:val="false"/>
        </w:rPr>
        <w:t xml:space="preserve">c) In Q3.3 the largest value belongs to the least sensitive zone; in Q3.4 the largest value belongs to the most sensitive zone.</w:t>
      </w:r>
    </w:p>
    <w:p>
      <w:pPr>
        <w:pBdr>
          <w:bottom w:val="single" w:color="C9A227" w:sz="6"/>
        </w:pBdr>
        <w:shd w:fill="FFF4CE" w:color="auto" w:val="clear"/>
        <w:bidi w:val="false"/>
        <w:spacing w:after="160" w:before="0" w:line="300"/>
        <w:jc w:val="both"/>
      </w:pPr>
      <w:r>
        <w:rPr>
          <w:rFonts w:ascii="Calibri" w:cs="Calibri" w:hAnsi="Calibri"/>
          <w:sz w:val="21"/>
          <w:szCs w:val="25"/>
          <w:rtl w:val="false"/>
        </w:rPr>
        <w:t xml:space="preserve">d) For every zone: (its value in Q3.3) × (its value in Q3.4) should be close to the “most vs least” value.</w:t>
      </w:r>
    </w:p>
    <w:p>
      <w:pPr>
        <w:keepNext/>
        <w:bidi w:val="false"/>
        <w:spacing w:after="100" w:before="200" w:line="300"/>
        <w:jc w:val="both"/>
      </w:pPr>
      <w:r>
        <w:rPr>
          <w:rFonts w:ascii="Calibri" w:cs="Calibri" w:hAnsi="Calibri"/>
          <w:b/>
          <w:bCs/>
          <w:sz w:val="28"/>
          <w:szCs w:val="32"/>
          <w:rtl w:val="false"/>
        </w:rPr>
        <w:t xml:space="preserve">Part 4: Acceptable overflow risk</w:t>
      </w:r>
    </w:p>
    <w:p>
      <w:pPr>
        <w:bidi w:val="false"/>
        <w:spacing w:after="120" w:before="0" w:line="300"/>
        <w:jc w:val="both"/>
      </w:pPr>
      <w:r>
        <w:rPr>
          <w:rFonts w:ascii="Calibri" w:cs="Calibri" w:hAnsi="Calibri"/>
          <w:sz w:val="22"/>
          <w:szCs w:val="26"/>
          <w:rtl w:val="false"/>
        </w:rPr>
        <w:t xml:space="preserve">Suppose a container in this zone is not emptied tonight. What is the highest probability that it overflows before the next collection that you would find acceptable?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80"/>
        <w:gridCol w:w="1209"/>
        <w:gridCol w:w="1209"/>
        <w:gridCol w:w="1210"/>
        <w:gridCol w:w="1210"/>
        <w:gridCol w:w="1210"/>
        <w:gridCol w:w="1210"/>
      </w:tblGrid>
      <w:tr>
        <w:trPr>
          <w:tblHeader/>
        </w:trPr>
        <w:tc>
          <w:tcPr>
            <w:tcW w:type="dxa" w:w="2380"/>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Zone</w:t>
            </w:r>
          </w:p>
        </w:tc>
        <w:tc>
          <w:tcPr>
            <w:tcW w:type="dxa" w:w="1209"/>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0% (never)</w:t>
            </w:r>
          </w:p>
        </w:tc>
        <w:tc>
          <w:tcPr>
            <w:tcW w:type="dxa" w:w="1209"/>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5%</w:t>
            </w:r>
          </w:p>
        </w:tc>
        <w:tc>
          <w:tcPr>
            <w:tcW w:type="dxa" w:w="1210"/>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10%</w:t>
            </w:r>
          </w:p>
        </w:tc>
        <w:tc>
          <w:tcPr>
            <w:tcW w:type="dxa" w:w="1210"/>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20%</w:t>
            </w:r>
          </w:p>
        </w:tc>
        <w:tc>
          <w:tcPr>
            <w:tcW w:type="dxa" w:w="1210"/>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30%</w:t>
            </w:r>
          </w:p>
        </w:tc>
        <w:tc>
          <w:tcPr>
            <w:tcW w:type="dxa" w:w="1210"/>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50%</w:t>
            </w:r>
          </w:p>
        </w:tc>
      </w:tr>
      <w:tr>
        <w:trPr>
          <w:tblHeader w:val="false"/>
        </w:trPr>
        <w:tc>
          <w:tcPr>
            <w:tcW w:type="dxa" w:w="238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Residential</w:t>
            </w:r>
          </w:p>
        </w:tc>
        <w:tc>
          <w:tcPr>
            <w:tcW w:type="dxa" w:w="1209"/>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09"/>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r>
      <w:tr>
        <w:trPr>
          <w:tblHeader w:val="false"/>
        </w:trPr>
        <w:tc>
          <w:tcPr>
            <w:tcW w:type="dxa" w:w="238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Commercial</w:t>
            </w:r>
          </w:p>
        </w:tc>
        <w:tc>
          <w:tcPr>
            <w:tcW w:type="dxa" w:w="1209"/>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09"/>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r>
      <w:tr>
        <w:trPr>
          <w:tblHeader w:val="false"/>
        </w:trPr>
        <w:tc>
          <w:tcPr>
            <w:tcW w:type="dxa" w:w="238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Recreational / tourist</w:t>
            </w:r>
          </w:p>
        </w:tc>
        <w:tc>
          <w:tcPr>
            <w:tcW w:type="dxa" w:w="1209"/>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09"/>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r>
      <w:tr>
        <w:trPr>
          <w:tblHeader w:val="false"/>
        </w:trPr>
        <w:tc>
          <w:tcPr>
            <w:tcW w:type="dxa" w:w="238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Governmental / diplomatic</w:t>
            </w:r>
          </w:p>
        </w:tc>
        <w:tc>
          <w:tcPr>
            <w:tcW w:type="dxa" w:w="1209"/>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09"/>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r>
      <w:tr>
        <w:trPr>
          <w:tblHeader w:val="false"/>
        </w:trPr>
        <w:tc>
          <w:tcPr>
            <w:tcW w:type="dxa" w:w="238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Historical / cultural</w:t>
            </w:r>
          </w:p>
        </w:tc>
        <w:tc>
          <w:tcPr>
            <w:tcW w:type="dxa" w:w="1209"/>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09"/>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r>
      <w:tr>
        <w:trPr>
          <w:tblHeader w:val="false"/>
        </w:trPr>
        <w:tc>
          <w:tcPr>
            <w:tcW w:type="dxa" w:w="238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Educational / medical</w:t>
            </w:r>
          </w:p>
        </w:tc>
        <w:tc>
          <w:tcPr>
            <w:tcW w:type="dxa" w:w="1209"/>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09"/>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r>
      <w:tr>
        <w:trPr>
          <w:tblHeader w:val="false"/>
        </w:trPr>
        <w:tc>
          <w:tcPr>
            <w:tcW w:type="dxa" w:w="238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Industrial / workshops</w:t>
            </w:r>
          </w:p>
        </w:tc>
        <w:tc>
          <w:tcPr>
            <w:tcW w:type="dxa" w:w="1209"/>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09"/>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c>
          <w:tcPr>
            <w:tcW w:type="dxa" w:w="121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w:t>
            </w:r>
          </w:p>
        </w:tc>
      </w:tr>
    </w:tbl>
    <w:p>
      <w:pPr>
        <w:keepNext/>
        <w:bidi w:val="false"/>
        <w:spacing w:after="100" w:before="200" w:line="300"/>
        <w:jc w:val="both"/>
      </w:pPr>
      <w:r>
        <w:rPr>
          <w:rFonts w:ascii="Calibri" w:cs="Calibri" w:hAnsi="Calibri"/>
          <w:b/>
          <w:bCs/>
          <w:sz w:val="28"/>
          <w:szCs w:val="32"/>
          <w:rtl w:val="false"/>
        </w:rPr>
        <w:t xml:space="preserve">Part 5: Operational estimates (optional)</w:t>
      </w:r>
    </w:p>
    <w:p>
      <w:pPr>
        <w:bidi w:val="false"/>
        <w:spacing w:after="120" w:before="0" w:line="300"/>
        <w:jc w:val="both"/>
      </w:pPr>
      <w:r>
        <w:rPr>
          <w:rFonts w:ascii="Calibri" w:cs="Calibri" w:hAnsi="Calibri"/>
          <w:sz w:val="22"/>
          <w:szCs w:val="26"/>
          <w:rtl w:val="false"/>
        </w:rPr>
        <w:t xml:space="preserve">From your experience, in how many days does a 1,100 L container usually fill in each zone, and how much does this vary from day to day?</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3500"/>
        <w:gridCol w:w="3500"/>
      </w:tblGrid>
      <w:tr>
        <w:trPr>
          <w:tblHeader/>
        </w:trPr>
        <w:tc>
          <w:tcPr>
            <w:tcW w:type="dxa" w:w="2638"/>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Zone</w:t>
            </w:r>
          </w:p>
        </w:tc>
        <w:tc>
          <w:tcPr>
            <w:tcW w:type="dxa" w:w="3500"/>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Days to full (&lt;1, 1, 2, 3, 4–5, &gt;5)</w:t>
            </w:r>
          </w:p>
        </w:tc>
        <w:tc>
          <w:tcPr>
            <w:tcW w:type="dxa" w:w="3500"/>
            <w:shd w:fill="D9E2F3" w:color="auto" w:val="clear"/>
            <w:tcMar>
              <w:top w:type="dxa" w:w="60"/>
              <w:left w:type="dxa" w:w="100"/>
              <w:bottom w:type="dxa" w:w="60"/>
              <w:right w:type="dxa" w:w="100"/>
            </w:tcMar>
          </w:tcPr>
          <w:p>
            <w:pPr>
              <w:bidi w:val="false"/>
              <w:spacing w:after="0" w:before="0" w:line="300"/>
              <w:jc w:val="left"/>
            </w:pPr>
            <w:r>
              <w:rPr>
                <w:rFonts w:ascii="Calibri" w:cs="Calibri" w:hAnsi="Calibri"/>
                <w:b/>
                <w:bCs/>
                <w:sz w:val="21"/>
                <w:szCs w:val="25"/>
                <w:rtl w:val="false"/>
              </w:rPr>
              <w:t xml:space="preserve">Day-to-day variability (low / medium / high)</w:t>
            </w:r>
          </w:p>
        </w:tc>
      </w:tr>
      <w:tr>
        <w:trPr>
          <w:tblHeader w:val="false"/>
        </w:trPr>
        <w:tc>
          <w:tcPr>
            <w:tcW w:type="dxa" w:w="2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Residential</w:t>
            </w:r>
          </w:p>
        </w:tc>
        <w:tc>
          <w:tcPr>
            <w:tcW w:type="dxa" w:w="35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c>
          <w:tcPr>
            <w:tcW w:type="dxa" w:w="35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2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Commercial</w:t>
            </w:r>
          </w:p>
        </w:tc>
        <w:tc>
          <w:tcPr>
            <w:tcW w:type="dxa" w:w="35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c>
          <w:tcPr>
            <w:tcW w:type="dxa" w:w="35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2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Recreational / tourist</w:t>
            </w:r>
          </w:p>
        </w:tc>
        <w:tc>
          <w:tcPr>
            <w:tcW w:type="dxa" w:w="35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c>
          <w:tcPr>
            <w:tcW w:type="dxa" w:w="35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2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Governmental / diplomatic</w:t>
            </w:r>
          </w:p>
        </w:tc>
        <w:tc>
          <w:tcPr>
            <w:tcW w:type="dxa" w:w="35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c>
          <w:tcPr>
            <w:tcW w:type="dxa" w:w="35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2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Historical / cultural</w:t>
            </w:r>
          </w:p>
        </w:tc>
        <w:tc>
          <w:tcPr>
            <w:tcW w:type="dxa" w:w="35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c>
          <w:tcPr>
            <w:tcW w:type="dxa" w:w="35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2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Educational / medical</w:t>
            </w:r>
          </w:p>
        </w:tc>
        <w:tc>
          <w:tcPr>
            <w:tcW w:type="dxa" w:w="35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c>
          <w:tcPr>
            <w:tcW w:type="dxa" w:w="35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r>
        <w:trPr>
          <w:tblHeader w:val="false"/>
        </w:trPr>
        <w:tc>
          <w:tcPr>
            <w:tcW w:type="dxa" w:w="2638"/>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Industrial / workshops</w:t>
            </w:r>
          </w:p>
        </w:tc>
        <w:tc>
          <w:tcPr>
            <w:tcW w:type="dxa" w:w="35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c>
          <w:tcPr>
            <w:tcW w:type="dxa" w:w="3500"/>
            <w:tcMar>
              <w:top w:type="dxa" w:w="60"/>
              <w:left w:type="dxa" w:w="100"/>
              <w:bottom w:type="dxa" w:w="60"/>
              <w:right w:type="dxa" w:w="100"/>
            </w:tcMar>
          </w:tcPr>
          <w:p>
            <w:pPr>
              <w:bidi w:val="false"/>
              <w:spacing w:after="0" w:before="0" w:line="300"/>
              <w:jc w:val="left"/>
            </w:pPr>
            <w:r>
              <w:rPr>
                <w:rFonts w:ascii="Calibri" w:cs="Calibri" w:hAnsi="Calibri"/>
                <w:sz w:val="21"/>
                <w:szCs w:val="25"/>
                <w:rtl w:val="false"/>
              </w:rPr>
              <w:t xml:space="preserve"/>
            </w:r>
          </w:p>
        </w:tc>
      </w:tr>
    </w:tbl>
    <w:p>
      <w:pPr>
        <w:keepNext/>
        <w:bidi w:val="false"/>
        <w:spacing w:after="100" w:before="200" w:line="300"/>
        <w:jc w:val="both"/>
      </w:pPr>
      <w:r>
        <w:rPr>
          <w:rFonts w:ascii="Calibri" w:cs="Calibri" w:hAnsi="Calibri"/>
          <w:b/>
          <w:bCs/>
          <w:sz w:val="28"/>
          <w:szCs w:val="32"/>
          <w:rtl w:val="false"/>
        </w:rPr>
        <w:t xml:space="preserve">Part 6: Comments</w:t>
      </w:r>
    </w:p>
    <w:p>
      <w:pPr>
        <w:bidi w:val="false"/>
        <w:spacing w:after="120" w:before="0" w:line="300"/>
        <w:jc w:val="both"/>
      </w:pPr>
      <w:r>
        <w:rPr>
          <w:rFonts w:ascii="Calibri" w:cs="Calibri" w:hAnsi="Calibri"/>
          <w:sz w:val="22"/>
          <w:szCs w:val="26"/>
          <w:rtl w:val="false"/>
        </w:rPr>
        <w:t xml:space="preserve">Any comments or suggestions on prioritising waste collection in District 6:</w:t>
      </w:r>
    </w:p>
    <w:p>
      <w:pPr>
        <w:bidi w:val="false"/>
        <w:spacing w:after="60" w:before="0" w:line="300"/>
        <w:jc w:val="both"/>
      </w:pPr>
      <w:r>
        <w:rPr>
          <w:rFonts w:ascii="Calibri" w:cs="Calibri" w:hAnsi="Calibri"/>
          <w:sz w:val="22"/>
          <w:szCs w:val="26"/>
          <w:rtl w:val="false"/>
        </w:rPr>
        <w:t xml:space="preserve">......................................................................................................................................................</w:t>
      </w:r>
    </w:p>
    <w:p>
      <w:pPr>
        <w:bidi w:val="false"/>
        <w:spacing w:after="240" w:before="0" w:line="300"/>
        <w:jc w:val="both"/>
      </w:pPr>
      <w:r>
        <w:rPr>
          <w:rFonts w:ascii="Calibri" w:cs="Calibri" w:hAnsi="Calibri"/>
          <w:sz w:val="22"/>
          <w:szCs w:val="26"/>
          <w:rtl w:val="false"/>
        </w:rPr>
        <w:t xml:space="preserve">......................................................................................................................................................</w:t>
      </w:r>
    </w:p>
    <w:p>
      <w:pPr>
        <w:bidi w:val="false"/>
        <w:spacing w:after="120" w:before="0" w:line="300"/>
        <w:jc w:val="center"/>
      </w:pPr>
      <w:r>
        <w:rPr>
          <w:rFonts w:ascii="Calibri" w:cs="Calibri" w:hAnsi="Calibri"/>
          <w:b/>
          <w:bCs/>
          <w:sz w:val="22"/>
          <w:szCs w:val="26"/>
          <w:rtl w:val="false"/>
        </w:rPr>
        <w:t xml:space="preserve">Thank you very much for your time.</w:t>
      </w:r>
    </w:p>
    <w:p>
      <w:pPr>
        <w:bidi w:val="false"/>
        <w:spacing w:after="120" w:before="0" w:line="300"/>
        <w:jc w:val="center"/>
      </w:pPr>
      <w:r>
        <w:rPr>
          <w:rFonts w:ascii="Calibri" w:cs="Calibri" w:hAnsi="Calibri"/>
          <w:color w:val="555555"/>
          <w:sz w:val="20"/>
          <w:szCs w:val="24"/>
          <w:rtl w:val="false"/>
        </w:rPr>
        <w:t xml:space="preserve">Researcher: Kiarash Sanaei Namaghi — Amirkabir University of Technology — contact: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60"/>
      </w:pPr>
    </w:lvl>
  </w:abstractNum>
  <w:abstractNum w:abstractNumId="3" w15:restartNumberingAfterBreak="0">
    <w:multiLevelType w:val="hybridMultilevel"/>
    <w:lvl w:ilvl="0" w15:tentative="1">
      <w:start w:val="1"/>
      <w:numFmt w:val="bullet"/>
      <w:lvlText w:val="•"/>
      <w:lvlJc w:val="start"/>
      <w:pPr>
        <w:ind w:left="5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2026-09-27T10:16:19.905Z</dcterms:created>
  <dcterms:modified xsi:type="dcterms:W3CDTF">2026-09-27T10:16:19.906Z</dcterms:modified>
</cp:coreProperties>
</file>

<file path=docProps/custom.xml><?xml version="1.0" encoding="utf-8"?>
<Properties xmlns="http://schemas.openxmlformats.org/officeDocument/2006/custom-properties" xmlns:vt="http://schemas.openxmlformats.org/officeDocument/2006/docPropsVTypes"/>
</file>