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2.8.1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3f25836 + 本次局部润色格式修复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v1.2.0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mask；有用户文字则优化，留空则先分析蒙版区域问题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“重绘效果图”始终显示当前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1.4.1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分流。普通单/多视图仍调用莉刻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 做纯文本扩写；局部重绘在“生成”边界自动调用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：有用户要求时优化，留空时依据 Image 1 干净当前效果图、Image 2 完整多视图和未外扩原始 mask 自动分析问题。Image 1 使用真实 2K 分块采集及 JPEG quality 95 / 4:4:4；mask 使用 quality 100 / 4:4:4，参考图使用 quality 85 / 4:2:0。结果只写入 Generation 内部 prompt，不回填前端文本框；同一上下文指纹优先复用已解析提示词；格式先无损归一，必要时在同一超时预算内修正一次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v1.4.1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与触发：普通生成仍保留手动智能润色图标。局部重绘不再把 Qwen 结果回填到“补充提示词”文本框，而是在用户点击生成时自动解析：有输入则以用户意图为最高优先级扩写，留空则先分析蒙版区域存在的结构/材质/接缝/缺失问题，再生成最终英文提示词。解析结果只写入当前 Generation.prompt 和 metadata，用户文本框保持原文。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视觉契约：固定为 Image 1 干净当前效果图、Image 2 完整选中多视图、第三张未外扩原始作者 mask。Qwen 不接收 clay 白灰几何融合图，也不接收远端专用外扩/羽化 mask；三图像素对齐，mask 白色只表达要诊断的原始编辑区域。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格式修复：模板采用等义英文约束，减少中文描述混入英文输出；四段内容角色与输入语义不变。仅将四个完整单行段落、CRLF、连续四段编号等无歧义变体做无损归一，不再删除句子来凑词数。超长、过短、中英混写、Markdown、段落错误或截断回复携带具体校验原因向 Qwen 修正一次，保留原始要求、system 和三图；建议目标 170–195 词。首次合格不追加调用，修正后仍不合格则 fail-closed。两次调用共用默认 65 秒 deadline；HTTP、认证或网络错误不按格式问题重试。日志只记录尝试次数和原因代码，不记录正文、图片或凭据。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覆盖三图顺序、干净 Image 1、未外扩 mask、编码质量、四段强校验，以及归一不丢语义、空/超长/混写/Markdown/截断回复的一次修正、共享超时、缺图阻断、认证失败不重试和日志脱敏；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v2.8.1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v2.8.1;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