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2.8.3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82b7954 + 本次局部重绘页签文案调整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prompt，不回填前端文本框；同一上下文指纹优先复用已解析提示词；格式先无损归一，必要时在同一超时预算内修正一次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：模板采用等义英文约束，减少中文描述混入英文输出；四段内容角色与输入语义不变。仅将四个完整单行段落、CRLF、连续四段编号等无歧义变体做无损归一，不再删除句子来凑词数。超长、过短、中英混写、Markdown、段落错误或截断回复携带具体校验原因向 Qwen 修正一次，保留原始要求、system 和三图；建议目标 170–195 词。首次合格不追加调用，修正后仍不合格则 fail-closed。两次调用共用默认 65 秒 deadline；HTTP、认证或网络错误不按格式问题重试。日志只记录尝试次数和原因代码，不记录正文、图片或凭据。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覆盖三图顺序、干净 Image 1、未外扩 mask、编码质量、四段强校验，以及归一不丢语义、空/超长/混写/Markdown/截断回复的一次修正、共享超时、缺图阻断、认证失败不重试和日志脱敏；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v2.8.3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v2.8.3;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