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2.10.3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add3b82 + 本次橡皮历史事务修复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四段模板转换；有用户文字直接转换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1.5.0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A2A；局部重绘空输入分两次调用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：先根据干净效果图、完整参考图和原始 mask 输出一句中文修复要求，再交给 Klein 四段英文模板转换，不再新增诊断目标。显式输入直接转换。仅修复有证据的接缝、色差、投影异常与已有文字异常；保持真实结构。三图编码不变；仅最终英文写入 Generation，诊断不持久化、不回填文本框。空输入缓存使用新策略版本；全流程共用 65 秒，最终格式最多修正一次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v1.5.0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四段模板，只输出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 User editing request，沿用三图和四段模板，只扩写句中目标，不重新寻找问题；无缺陷句仅转换为保留原貌的要求。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视觉契约：两阶段均使用 Image 1 干净当前效果图、Image 2 完整选中多视图、第三张未外扩原始作者 mask；只编码一次并复用。Qwen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格式修复与超时：最终英文继续执行四段、每段 1–3 句、130–220 词强校验；只无损归一四个单行段落、CRLF 和连续编号，不删句。最终回复异常时保留转换要求、system 和三图，携带具体原因修正一次，不重新诊断。空输入正常两次调用、含格式修正最多三次；显式输入正常一次、最多两次。所有调用共用默认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以模拟上游响应覆盖独立诊断模板、一句话验证、空串/纯空白两阶段、无缺陷保留、三图/超时复用、诊断异常阻断、显式输入跳过诊断、最终格式一次修正及日志脱敏；不代替真实模型效果验收。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v2.10.3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v2.10.3;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