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32702a4 + 本次远端蒙版融合范围调整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24–64px@2K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clamp(0.25×mask短边,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1.6.0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转换模板。新模板先按原始 mask 定位真实部件，再从完整参考图交叉核对同部件结构/材质并变换到 Image 1 视角；最终只输出 100–180 词、2–3 段英文，不再强制固定开头或四段结构。仅最终英文写入 Generation，诊断不持久化、不回填文本框；三图编码、65 秒 deadline 和一次格式修正保持不变。模板策略进入所有局部重绘指纹，升级后首次重新解析、后续继续复用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v1.6.0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回复直接阻断，不裁剪后继续。第二阶段将该句作为用户要求，沿用三图和 v1.6.0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 A/B 测试选定的通用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局部几何预览的浅色底色、亮度斑块和投影裂线不得成为成品材质依据，但真实浅色材质和金属高光不得因颜色被误删；修缝必须区分非物理纹理边缝与真实装配间隙、焊缝、开口、硬边和接触阴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输出与格式修复：最终只允许 100–180 个英文单词、2–3 段完整英文正文；首句先明确实际部件及目标动作/材质，随后限定只修改独立 mask 选区。禁止标题、编号、Markdown、分析、坐标、无关参数和中文描述，不再强制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固定开头，也不再机械凑四段或堆叠白/灰占位否定词。服务端强校验段数、词数、英文、Markdown、完整段落及首段 mask 范围；只无损归一 2/3 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v2.10.6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v2.10.6;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