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2.10.8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6dd8667 + 本次局部重绘提示词格式容错修复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24–64px@2K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clamp(0.25×mask短边,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1.7.1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输入。模板目标为 100–180 词、2–3 段英文，最终验收允许不超过 200 词的小幅模型偏差，并接受多种明确的 mask 范围表达。仅最终英文写入 Generation，诊断不持久化、不回填文本框；四图编码、65 秒 deadline 和一次格式修正保持不变。模板策略进入所有局部重绘指纹，升级后首次重新解析、后续继续复用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v1.7.1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 A/B 测试选定的通用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局部几何预览的浅色底色、亮度斑块和投影裂线不得成为成品材质依据，但真实浅色材质和金属高光不得因颜色被误删；修缝必须区分非物理纹理边缝与真实装配间隙、焊缝、开口、硬边和接触阴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输出与格式修复：模板仍要求 100–180 个英文单词、2–3 段完整英文正文；首句先明确实际部件及目标动作/材质，随后限定只修改独立 mask 选区。服务端最终验收允许 100–200 词，避免格式修正仅超出数词时误拒绝；超过 200 词仍 fail-closed，禁止自动截句或删除意图。mask 范围可用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或明确声明 mask 外保持 unchanged/protected/preserved 等等价表达。禁止标题、编号、Markdown、分析、坐标、无关参数和中文描述，不再强制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固定开头，也不再机械凑四段或堆叠白/灰占位否定词。服务端强校验段数、词数、英文、Markdown、完整段落及首段 mask 范围；只无损归一 2/3 个单行段落、CRLF 和连续编号，不删句。最终回复异常时保留转换要求、system 和四图，携带具体原因修正一次，不重新诊断。空输入正常两次调用、含格式修正最多三次；显式输入正常一次、最多两次。所有调用共用默认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以模拟上游响应覆盖独立诊断模板、一句话验证、空串/纯空白两阶段、无缺陷保留、四图顺序、选区包围盒/裁切、超时复用、诊断异常阻断、显式输入跳过诊断、最终格式一次修正、183 词实测复现、201 词阻断、多种 mask 范围表达及日志脱敏；不代替真实模型效果验收。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v2.10.8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v2.10.8;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