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2.2.0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2026-08-26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1635d95e4ce68d5cc98a6d8c40619170f167060c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在普通多视图后以 priority-feathered 覆盖核心区域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opacity×sourceAlpha×mask×angle×visibility×facing×edgeFade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 + normal agreement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1.0.0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边界质量 0.05→0.35、最小 alpha 0.45；核心 coverage 0.70→0.92、quality 0.55→0.82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；priority 使用 ALG-PROJ-005；literal=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overlay；停止后 latest-wins 延迟持久化 projected repaint layer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固定关闭；idle 3000ms，latest-wins；visible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 →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Generation；图层仍为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，不引入新的投影、UV 或颜色合成版本。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v2.2.0   |   2026-08-26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v2.2.0;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