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2.4.1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2026-08-27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7d1e7bb8386849e1244175ec70db13a353e49544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三输入、接缝谐调、表面画笔回贴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或对象存储校验；旧工程无需迁移。回退时可恢复原 5 秒首次 dirty 定时和快照 ID 比较，已保存 Project、Revision 与资产不需要改写。最低回归覆盖 2 秒尾随、10 秒最长等待、过期回包不得清除 dirty、最新回包能够标记 Saved，以及 Web typecheck/build。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保持输出尺寸；多模型预览按选中对象预热隐藏 UV 行，批量上传期间固定 Worker bitmap，缓存保留九模型 proxy/exact 与当前对象六层切换工作集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请求尺寸；array 上传失败保留上一有效材质并走有界 fallback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selection mask；1K clay white model；2K flat BaseColor viewport reference（仅本地融合）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三输入任务与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结果做 seam harmonization（enhanced v14 / compatible v5）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raw、harmonized、mask、reference 与版本元数据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三业务输入生成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2026.08.26-740115a-truev3-gguf-3input-rseed-r1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1K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白模、必填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多视图材质参考；不提交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；用户 mask 与 flat viewport reference 只用于浏览器回贴和接缝融合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12-40、sample 8-32、cell 64、correction depth 96、启用局部颜色匹配；alpha 仍来自生成结果/蒙版契约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4-8、edge opacity 1、不做 color match，用于兼容模式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持有图层时，创建、重绑定、复用与 tool 切换分支必须共同保持 overlay 可见并静音同一 persisted twin；ordered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后台执行，不再作为 ModelView 提交门槛，失败仍触发正常即时保存恢复；Generation、对象、目标层与 GPU-ready 标记共同识别驻留 source，稳定 mask URL 与等价 live PNG URL 不构成冷启动依据；pointer-up 两帧内发布权威图层行，idle 3000ms 仅合并后台持久化；visible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独立路径，不得与三输入主路径混改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局部生图远端不接收用户最终回贴 mask、UV 图集或表面深度；这些是浏览器本地的几何授权。远端返回的是候选图，用户通过表面画笔决定真正写回区域。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v2.4.1   |   2026-08-27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v2.4.1;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