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2.5.0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2026-08-28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85f0f3fe37e30b51e4bc61b9a4b67450c021ac76 / clean Modernization chain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选择蒙版、ModelView 四输入、返回图直出、表面画笔回贴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多视图、单视图、重绘效果；提交/恢复任务并创建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getProjectSnapshot(refreshThumbnail=true)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 save queue（同一编辑器串行）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或对象存储校验；旧工程无需迁移。回退时可恢复原 5 秒首次 dirty 定时和快照 ID 比较，已保存 Project、Revision 与资产不需要改写。最低回归覆盖 2 秒尾随、10 秒最长等待、过期回包不得清除 dirty、最新回包能够标记 Saved，以及 Web typecheck/build。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的交互调度只优化普通 projected keep-mask：原始鼠标/压感笔事件在每个显示帧仅保留最后一个表面命中，512 代理画布用连续笔刷段补齐帧间路径；抬笔后的持久画布、历史瓦片和图层发布至少等待 120ms 无输入窗口并进入浏览器 idle 时隙，高分辨率投影补缝仍在 3000ms 交互空闲后运行。普通/合并 UV 橡皮继续使用密集 BVH/UV 重采样，局部重绘作者 coverage 继续使用其独立实时蒙版，因此不会以性能优化换取 UV 接缝或作者蒙版精度。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direct samplers 或 WebGL2 arrays；512 tile 保持输出尺寸；多模型预览按选中对象预热隐藏 UV 行，批量上传期间固定 Worker bitmap，缓存保留九模型 proxy/exact 与当前对象六层切换工作集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可缩放预览驻留，不得降低生产 UV 请求尺寸；array 上传失败保留上一有效材质并走有界 fallback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2K RGB selection mask + 同尺寸 2K flat BaseColor 当前效果图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四输入（当前效果图 / 材质参考 / RGB mask /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flat BaseColor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与可空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持有图层时，创建、重绑定、复用与 tool 切换分支必须共同保持 overlay 可见并静音同一 persisted twin；ordered projected stack 已拥有显示权时 overlay 保持隐藏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后台执行，不再作为 ModelView 提交门槛，失败仍触发正常即时保存恢复；Generation、对象、目标层与 GPU-ready 标记共同识别驻留 source，稳定 mask URL 与等价 live PNG URL 不构成冷启动依据；pointer-up 两帧内发布权威图层行，idle 3000ms 仅合并后台持久化；visible projected overlay + hidden/session draft，needsRebake=true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队列。新任务的幂等后缀为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Harness，且不得挂载真实项目持久化服务。投影预览失败保留上一份有效材质、写入 console 并熔断相同签名，禁止弹出用户 Toast 或无限重算。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v2.5.0   |   2026-08-28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v2.5.0;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