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2.7.2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fe39f74b3f0e830def5f3f7ec8668592252a7201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| 参数 | 当前值 | 语义 | | --- | --: | --- | | 无深度背面硬拒绝 | </w:t>
      </w:r>
      <w:r>
        <w:rPr>
          <w:rFonts w:ascii="Consolas" w:hAnsi="Consolas" w:eastAsia="Microsoft YaHei" w:cs="Consolas"/>
          <w:b w:val="0"/>
          <w:color w:val="1F4D78"/>
          <w:sz w:val="21"/>
        </w:rPr>
        <w:t>N·V &lt; -0.35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捕获背面拒绝 | | 无深度角度覆盖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-0.62 → -0.18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smoothstep feather | | 有深度角度覆盖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0.02 → 0.38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使用绝对面向 | | 深度容差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max(0.00625, viewDepth×0.00075)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掠射角最多放大 5 倍 | | 法线一致度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0.72 → 0.92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捕获法线门控 | | 图像边缘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0.015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fade | | 质量边缘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0.035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quality fade | | quality 角度 | </w:t>
      </w:r>
      <w:r>
        <w:rPr>
          <w:rFonts w:ascii="Consolas" w:hAnsi="Consolas" w:eastAsia="Microsoft YaHei" w:cs="Consolas"/>
          <w:b w:val="0"/>
          <w:color w:val="1F4D78"/>
          <w:sz w:val="21"/>
        </w:rPr>
        <w:t>smoothstep(0.02,0.25,n)×n^(4/clamp(strength,.25,3))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强度控制角度锐度 | | 入选分数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max(quality, coverage×0.08)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coverage 保底 | | 强质量权重 | </w:t>
      </w:r>
      <w:r>
        <w:rPr>
          <w:rFonts w:ascii="Consolas" w:hAnsi="Consolas" w:eastAsia="Microsoft YaHei" w:cs="Consolas"/>
          <w:b w:val="0"/>
          <w:color w:val="1F4D78"/>
          <w:sz w:val="21"/>
        </w:rPr>
        <w:t>quality^2.4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主权重 | | coverage 残差 | </w:t>
      </w:r>
      <w:r>
        <w:rPr>
          <w:rFonts w:ascii="Consolas" w:hAnsi="Consolas" w:eastAsia="Microsoft YaHei" w:cs="Consolas"/>
          <w:b w:val="0"/>
          <w:color w:val="1F4D78"/>
          <w:sz w:val="21"/>
        </w:rPr>
        <w:t>20%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防止低质量完全消失 | | 胜者比例 | </w:t>
      </w:r>
      <w:r>
        <w:rPr>
          <w:rFonts w:ascii="Consolas" w:hAnsi="Consolas" w:eastAsia="Microsoft YaHei" w:cs="Consolas"/>
          <w:b w:val="0"/>
          <w:color w:val="1F4D78"/>
          <w:sz w:val="21"/>
        </w:rPr>
        <w:t>1.45 → 2.6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第一/第二质量比 | | 胜者差值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0.05 → 0.2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绝对质量差 | | 颜色一致 sigma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0.22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线性 RGB 距离抑制 | | surface-lock 深度支持羽化 | </w:t>
      </w:r>
      <w:r>
        <w:rPr>
          <w:rFonts w:ascii="Consolas" w:hAnsi="Consolas" w:eastAsia="Microsoft YaHei" w:cs="Consolas"/>
          <w:b w:val="0"/>
          <w:color w:val="1F4D78"/>
          <w:sz w:val="21"/>
        </w:rPr>
        <w:t>0.00 → 0.05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任一可信 3×3 depth 邻域命中即快速恢复完整覆盖 | | 单视图轮廓距离场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max(24,min(128,maxDim×0.035))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有可见底层时，源 Alpha 从 0.12 平滑升至 1.0 | | 投影 RGB 外扩 | </w:t>
      </w:r>
      <w:r>
        <w:rPr>
          <w:rFonts w:ascii="Consolas" w:hAnsi="Consolas" w:eastAsia="Microsoft YaHei" w:cs="Consolas"/>
          <w:b w:val="0"/>
          <w:color w:val="1F4D78"/>
          <w:sz w:val="21"/>
        </w:rPr>
        <w:t>max(8,min(48,maxDim×0.015))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| 只保护过滤采样颜色；几何 footprint 仍由独立 capture mask 决定 |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mask；有用户文字则优化，留空则先分析蒙版区域问题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“重绘效果图”始终显示当前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分流。普通单/多视图仍调用莉刻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 做纯文本扩写；局部重绘在“生成”边界自动调用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：有用户要求时优化，留空时依据 Image 1 干净当前效果图、Image 2 完整多视图和未外扩原始 mask 自动分析问题。Image 1 使用真实 2K 分块采集及 JPEG quality 95 / 4:4:4；mask 使用 quality 100 / 4:4:4，参考图使用 quality 85 / 4:2:0。结果只写入 Generation 内部 prompt，不回填前端文本框；同一上下文指纹优先复用已解析提示词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v1.4.0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与触发：普通生成仍保留手动智能润色图标。局部重绘不再把 Qwen 结果回填到“补充提示词”文本框，而是在用户点击生成时自动解析：有输入则以用户意图为最高优先级扩写，留空则先分析蒙版区域存在的结构/材质/接缝/缺失问题，再生成最终英文提示词。解析结果只写入当前 Generation.prompt 和 metadata，用户文本框保持原文。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视觉契约：固定为 Image 1 干净当前效果图、Image 2 完整选中多视图、第三张未外扩原始作者 mask。Qwen 不接收 clay 白灰几何融合图，也不接收远端专用外扩/羽化 mask；三图像素对齐，mask 白色只表达要诊断的原始编辑区域。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 Qwen 三图顺序、干净 Image 1、未外扩 mask、新 system content、mask quality 100 / 4:4:4 和四段强校验；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必须锁定 Qwen/ModelView 角色分离、Worker 外扩羽化和内部 prompt 复用。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v2.7.2   |   2026-08-29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v2.7.2;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