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2.8.2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2026-08-31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c21c5d9 + 本次连续重绘驻留交接修复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v1.2.0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仅在原始 mask 内以连续强度将 clay 融入效果图；原始 mask 自适应外扩 16–48px@2K 并羽化 4–10px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mask；有用户文字则优化，留空则先分析蒙版区域问题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“重绘效果图”始终显示当前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2.0.4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持有图层时保持 overlay 可见并静音同一 persisted twin；切换或清空 source 前等待旧层在实际背景材质驻留，再移交显示权；ordered projected stack 已拥有显示权时 overlay 保持隐藏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在原始连续 mask 内执行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；外扩半径为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clamp(0.2×mask短边, 16, 48)px@2K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，羽化维持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。融合图和外扩 mask 只给 ModelView；Qwen、Capture、Generation 画笔授权与历史恢复统一使用未外扩作者 mask，双蒙版历史任务优先读取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authoredMaskUrl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1.4.1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分流。普通单/多视图仍调用莉刻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 做纯文本扩写；局部重绘在“生成”边界自动调用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：有用户要求时优化，留空时依据 Image 1 干净当前效果图、Image 2 完整多视图和未外扩原始 mask 自动分析问题。Image 1 使用真实 2K 分块采集及 JPEG quality 95 / 4:4:4；mask 使用 quality 100 / 4:4:4，参考图使用 quality 85 / 4:2:0。结果只写入 Generation 内部 prompt，不回填前端文本框；同一上下文指纹优先复用已解析提示词；格式先无损归一，必要时在同一超时预算内修正一次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v1.4.1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与触发：普通生成仍保留手动智能润色图标。局部重绘不再把 Qwen 结果回填到“补充提示词”文本框，而是在用户点击生成时自动解析：有输入则以用户意图为最高优先级扩写，留空则先分析蒙版区域存在的结构/材质/接缝/缺失问题，再生成最终英文提示词。解析结果只写入当前 Generation.prompt 和 metadata，用户文本框保持原文。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Qwen 视觉契约：固定为 Image 1 干净当前效果图、Image 2 完整选中多视图、第三张未外扩原始作者 mask。Qwen 不接收 clay 白灰几何融合图，也不接收远端专用外扩/羽化 mask；三图像素对齐，mask 白色只表达要诊断的原始编辑区域。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进入 Qwen 前为 JPEG quality 95 / 4:4:4，原始 mask 为 quality 100 / 4:4:4，参考图为 quality 85 / 4:2:0，最长边均不超过 2048。浏览器只调用同源 Cookie API，服务端必须收到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，不得在缺图时降级为文件名推断；API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模板与输出：system content 指定 Image 1 为几何/相机/光照权威，独立 mask 为可编辑范围，Image 2 只提供对应结构、文字、材质和细节；输出必须为英文正好四段、每段 1–3 个完整句、总计 130–220 词，并以 </w:t>
      </w:r>
      <w:r>
        <w:rPr>
          <w:rFonts w:ascii="Consolas" w:hAnsi="Consolas" w:eastAsia="Microsoft YaHei" w:cs="Consolas"/>
          <w:b w:val="0"/>
          <w:color w:val="1F4D78"/>
          <w:sz w:val="20"/>
        </w:rPr>
        <w:t>Edit only the white masked region.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开头。结果必须完整填充区域，禁止白/灰块、平面覆盖、半透明残影、蒙版轮廓、空白与未完成内容。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格式修复：模板采用等义英文约束，减少中文描述混入英文输出；四段内容角色与输入语义不变。仅将四个完整单行段落、CRLF、连续四段编号等无歧义变体做无损归一，不再删除句子来凑词数。超长、过短、中英混写、Markdown、段落错误或截断回复携带具体校验原因向 Qwen 修正一次，保留原始要求、system 和三图；建议目标 170–195 词。首次合格不追加调用，修正后仍不合格则 fail-closed。两次调用共用默认 65 秒 deadline；HTTP、认证或网络错误不按格式问题重试。日志只记录尝试次数和原因代码，不记录正文、图片或凭据。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覆盖三图顺序、干净 Image 1、未外扩 mask、编码质量、四段强校验，以及归一不丢语义、空/超长/混写/Markdown/截断回复的一次修正、共享超时、缺图阻断、认证失败不重试和日志脱敏；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v2.8.2   |   2026-08-31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v2.8.2;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