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2.8.4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5939bc2 + 本次局部重绘空输入诊断范围收窄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仅诊断人工纹理接缝与投影造成的局部异常，保留真实结构和正常内容。Image 1 使用真实 2K 分块采集及 JPEG quality 95 / 4:4:4；mask 使用 quality 100 / 4:4:4，参考图使用 quality 85 / 4:2:0。结果只写入 Generation 内部 prompt，不回填前端文本框；空输入上下文指纹增加策略版本以避开旧诊断结果；格式先无损归一，必要时在同一超时预算内修正一次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v1.4.2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；留空（包括纯空白）只分析蒙版内人工纹理接缝、颜色/纹理断裂、重影及投影造成的重复、拉伸或错位细节，不再默认恢复参考图全部特征。真实面板接缝、焊缝、开口和零件边界必须保留；不主动改文字、增加零件、改整体配色或重设几何；无明显缺陷或证据不清时保留原貌。参考图只辅助必要的局部修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：模板采用等义英文约束，减少中文描述混入英文输出；四段内容角色与输入语义不变。仅将四个完整单行段落、CRLF、连续四段编号等无歧义变体做无损归一，不再删除句子来凑词数。超长、过短、中英混写、Markdown、段落错误或截断回复携带具体校验原因向 Qwen 修正一次，保留原始要求、system 和三图；建议目标 170–195 词。首次合格不追加调用，修正后仍不合格则 fail-closed。两次调用共用默认 65 秒 deadline；HTTP、认证或网络错误不按格式问题重试。日志只记录尝试次数和原因代码，不记录正文、图片或凭据。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覆盖三图顺序、干净 Image 1、未外扩 mask、编码质量、四段强校验，以及归一不丢语义、空/超长/混写/Markdown/截断回复的一次修正、共享超时、缺图阻断、认证失败不重试和日志脱敏；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v2.8.4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v2.8.4;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