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6382583 + 本次 Qwen 选区原图上下文裁切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24–64px@2K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clamp(0.25×mask短边,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1.7.0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输入。最终只输出 100–180 词、2–3 段英文。仅最终英文写入 Generation，诊断不持久化、不回填文本框；四图编码、65 秒 deadline 和一次格式修正保持不变。模板策略进入所有局部重绘指纹，升级后首次重新解析、后续继续复用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v1.7.0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 A/B 测试选定的通用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局部几何预览的浅色底色、亮度斑块和投影裂线不得成为成品材质依据，但真实浅色材质和金属高光不得因颜色被误删；修缝必须区分非物理纹理边缝与真实装配间隙、焊缝、开口、硬边和接触阴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输出与格式修复：最终只允许 100–180 个英文单词、2–3 段完整英文正文；首句先明确实际部件及目标动作/材质，随后限定只修改独立 mask 选区。禁止标题、编号、Markdown、分析、坐标、无关参数和中文描述，不再强制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固定开头，也不再机械凑四段或堆叠白/灰占位否定词。服务端强校验段数、词数、英文、Markdown、完整段落及首段 mask 范围；只无损归一 2/3 个单行段落、CRLF 和连续编号，不删句。最终回复异常时保留转换要求、system 和四图，携带具体原因修正一次，不重新诊断。空输入正常两次调用、含格式修正最多三次；显式输入正常一次、最多两次。所有调用共用默认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v2.10.7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v2.10.7;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