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2.1.1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2026-08-26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2568e4053c56f445c5e9d45518bf351923600c28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  <w:pageBreakBefore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在普通多视图后以 priority-feathered 覆盖核心区域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opacity×sourceAlpha×mask×angle×visibility×facing×edgeFade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 + normal agreement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1.0.0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边界质量 0.05→0.35、最小 alpha 0.45；核心 coverage 0.70→0.92、quality 0.55→0.82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；priority 使用 ALG-PROJ-005；literal=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overlay；停止后 latest-wins 延迟持久化 projected repaint layer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固定关闭；idle 3000ms，latest-wins；visible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 →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时，打开性能 HUD，并在浏览器内创建隔离的默认基准 </w:t>
      </w:r>
      <w:r>
        <w:rPr>
          <w:rFonts w:ascii="Consolas" w:hAnsi="Consolas" w:eastAsia="Microsoft YaHei" w:cs="Consolas"/>
          <w:b w:val="0"/>
          <w:color w:val="1F4D78"/>
          <w:sz w:val="20"/>
        </w:rPr>
        <w:t>100-layers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（1 个合成 GLB 立方体、100 个投影层、1 张精确图层栈纹理）；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perfScenario=100-models|100-layers|100-layers-unbaked|paint-layer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可显式覆盖默认场景。该模式不得写入用户原项目或恢复旧本地组件依赖。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v2.1.1   |   2026-08-26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v2.1.1;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