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688C" w14:textId="4A17BFB9" w:rsidR="00B12BEE" w:rsidRPr="00B12BEE" w:rsidRDefault="00B12BEE">
      <w:pPr>
        <w:rPr>
          <w:rFonts w:ascii="Helvetica" w:hAnsi="Helvetica"/>
          <w:sz w:val="20"/>
          <w:szCs w:val="20"/>
          <w:lang w:val="en-US"/>
        </w:rPr>
      </w:pPr>
      <w:r w:rsidRPr="00B12BEE">
        <w:rPr>
          <w:rFonts w:ascii="Helvetica" w:hAnsi="Helvetica"/>
          <w:sz w:val="20"/>
          <w:szCs w:val="20"/>
          <w:lang w:val="en-US"/>
        </w:rPr>
        <w:t>A company has decided to implement a performance management system. Part of this performance management system is a Business Intelligence System that integrates performance data into an analytical dashboard. This analytical dashboard will support the need for management to understand organizational health and make decisions.</w:t>
      </w:r>
      <w:r w:rsidR="00A353AB">
        <w:rPr>
          <w:rFonts w:ascii="Helvetica" w:hAnsi="Helvetica"/>
          <w:sz w:val="20"/>
          <w:szCs w:val="20"/>
          <w:lang w:val="en-US"/>
        </w:rPr>
        <w:t xml:space="preserve"> </w:t>
      </w:r>
    </w:p>
    <w:p w14:paraId="716DEA2E" w14:textId="77777777" w:rsidR="00B12BEE" w:rsidRPr="00B12BEE" w:rsidRDefault="00B12BEE">
      <w:pPr>
        <w:rPr>
          <w:rFonts w:ascii="Helvetica" w:hAnsi="Helvetic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3933"/>
        <w:gridCol w:w="2678"/>
        <w:gridCol w:w="2673"/>
      </w:tblGrid>
      <w:tr w:rsidR="00B12BEE" w14:paraId="5EB55107" w14:textId="77777777" w:rsidTr="00493AB3">
        <w:tc>
          <w:tcPr>
            <w:tcW w:w="1506" w:type="dxa"/>
          </w:tcPr>
          <w:p w14:paraId="6ED5B10B" w14:textId="34212404" w:rsidR="00B12BEE" w:rsidRPr="00B12BEE" w:rsidRDefault="00B12BEE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B12BEE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Perspective</w:t>
            </w:r>
          </w:p>
        </w:tc>
        <w:tc>
          <w:tcPr>
            <w:tcW w:w="3933" w:type="dxa"/>
          </w:tcPr>
          <w:p w14:paraId="16F5E2B8" w14:textId="4288B744" w:rsidR="00B12BEE" w:rsidRPr="00B12BEE" w:rsidRDefault="00B12BEE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B12BEE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Measure</w:t>
            </w:r>
          </w:p>
        </w:tc>
        <w:tc>
          <w:tcPr>
            <w:tcW w:w="2678" w:type="dxa"/>
          </w:tcPr>
          <w:p w14:paraId="720759B9" w14:textId="4473EB02" w:rsidR="00B12BEE" w:rsidRPr="00B12BEE" w:rsidRDefault="00B12BEE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B12BEE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Domain Dimension</w:t>
            </w:r>
          </w:p>
        </w:tc>
        <w:tc>
          <w:tcPr>
            <w:tcW w:w="2673" w:type="dxa"/>
          </w:tcPr>
          <w:p w14:paraId="1F0A06D8" w14:textId="3D38BDF2" w:rsidR="00B12BEE" w:rsidRPr="00B12BEE" w:rsidRDefault="00B12BEE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B12BEE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Time Dimension</w:t>
            </w:r>
          </w:p>
        </w:tc>
      </w:tr>
      <w:tr w:rsidR="00493AB3" w14:paraId="77F3E09A" w14:textId="77777777" w:rsidTr="00493AB3">
        <w:tc>
          <w:tcPr>
            <w:tcW w:w="1506" w:type="dxa"/>
          </w:tcPr>
          <w:p w14:paraId="6CF25B19" w14:textId="0CC584EE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Financial</w:t>
            </w:r>
          </w:p>
        </w:tc>
        <w:tc>
          <w:tcPr>
            <w:tcW w:w="3933" w:type="dxa"/>
          </w:tcPr>
          <w:p w14:paraId="299CF0A9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[A] Total Sales from orders</w:t>
            </w:r>
          </w:p>
          <w:p w14:paraId="470969B1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[B] Total Sales from services</w:t>
            </w:r>
          </w:p>
          <w:p w14:paraId="25DC57F5" w14:textId="77777777" w:rsidR="00CA7531" w:rsidRDefault="00CA753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[C] Total Expenses from orders</w:t>
            </w:r>
          </w:p>
          <w:p w14:paraId="289DBAF4" w14:textId="4E4C5265" w:rsidR="00CA7531" w:rsidRDefault="00CA753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[D] Total Expenses from services</w:t>
            </w:r>
          </w:p>
        </w:tc>
        <w:tc>
          <w:tcPr>
            <w:tcW w:w="2678" w:type="dxa"/>
          </w:tcPr>
          <w:p w14:paraId="36FB3631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[01] Operations Region</w:t>
            </w:r>
          </w:p>
          <w:p w14:paraId="7784F909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[02] Sales Representative</w:t>
            </w:r>
          </w:p>
          <w:p w14:paraId="48EE6199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[03] Customer Region</w:t>
            </w:r>
          </w:p>
          <w:p w14:paraId="4619F9A2" w14:textId="2439E0D5" w:rsidR="00A353AB" w:rsidRDefault="00DC484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[04] Order Status</w:t>
            </w:r>
          </w:p>
        </w:tc>
        <w:tc>
          <w:tcPr>
            <w:tcW w:w="2673" w:type="dxa"/>
            <w:vMerge w:val="restart"/>
          </w:tcPr>
          <w:p w14:paraId="58CB5933" w14:textId="4569AE35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T1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Month</w:t>
            </w:r>
          </w:p>
          <w:p w14:paraId="1212FF21" w14:textId="5F6F048B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T2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Quarter</w:t>
            </w:r>
          </w:p>
          <w:p w14:paraId="6D8A9144" w14:textId="59DFFC88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T3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Year</w:t>
            </w:r>
          </w:p>
        </w:tc>
      </w:tr>
      <w:tr w:rsidR="00493AB3" w14:paraId="751554FD" w14:textId="77777777" w:rsidTr="00493AB3">
        <w:tc>
          <w:tcPr>
            <w:tcW w:w="1506" w:type="dxa"/>
          </w:tcPr>
          <w:p w14:paraId="61FC5A5F" w14:textId="032328B1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3933" w:type="dxa"/>
          </w:tcPr>
          <w:p w14:paraId="4AF6A019" w14:textId="5FB1FBDA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>E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Total Number of Customers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</w:p>
          <w:p w14:paraId="2923D40B" w14:textId="57E829AA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>F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Average Satisfaction Rating</w:t>
            </w:r>
          </w:p>
        </w:tc>
        <w:tc>
          <w:tcPr>
            <w:tcW w:w="2678" w:type="dxa"/>
          </w:tcPr>
          <w:p w14:paraId="61753999" w14:textId="77777777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[01] Operations Region</w:t>
            </w:r>
          </w:p>
          <w:p w14:paraId="692F90B9" w14:textId="77777777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[02] Sales Representative</w:t>
            </w:r>
          </w:p>
          <w:p w14:paraId="443C7659" w14:textId="77777777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[03] Customer Region</w:t>
            </w:r>
          </w:p>
          <w:p w14:paraId="69A45B51" w14:textId="77777777" w:rsidR="00DC4847" w:rsidRDefault="00DC4847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[04] Order Status</w:t>
            </w:r>
          </w:p>
          <w:p w14:paraId="5E8A6231" w14:textId="183B9BE6" w:rsidR="00A353AB" w:rsidRDefault="00A353AB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[05] Type of Sales</w:t>
            </w:r>
          </w:p>
        </w:tc>
        <w:tc>
          <w:tcPr>
            <w:tcW w:w="2673" w:type="dxa"/>
            <w:vMerge/>
          </w:tcPr>
          <w:p w14:paraId="7DE5D47A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</w:tc>
      </w:tr>
      <w:tr w:rsidR="00493AB3" w14:paraId="67CA0DB0" w14:textId="77777777" w:rsidTr="00493AB3">
        <w:tc>
          <w:tcPr>
            <w:tcW w:w="1506" w:type="dxa"/>
          </w:tcPr>
          <w:p w14:paraId="4E6A53BD" w14:textId="7DEBDA6E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Internal Processes</w:t>
            </w:r>
          </w:p>
        </w:tc>
        <w:tc>
          <w:tcPr>
            <w:tcW w:w="3933" w:type="dxa"/>
          </w:tcPr>
          <w:p w14:paraId="601B4DCE" w14:textId="1142A94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>G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 xml:space="preserve">] 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 xml:space="preserve">Average 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Order Turnaround Days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 xml:space="preserve"> (days from order to fulfillment date)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78" w:type="dxa"/>
          </w:tcPr>
          <w:p w14:paraId="4CEDF67D" w14:textId="229E67A4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6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Operations Region</w:t>
            </w:r>
          </w:p>
          <w:p w14:paraId="6015F8A4" w14:textId="7B28A243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Sales Representative</w:t>
            </w:r>
          </w:p>
          <w:p w14:paraId="1284B101" w14:textId="6C5872DE" w:rsidR="00493AB3" w:rsidRDefault="00493AB3" w:rsidP="00B12BE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Customer Region</w:t>
            </w:r>
          </w:p>
        </w:tc>
        <w:tc>
          <w:tcPr>
            <w:tcW w:w="2673" w:type="dxa"/>
            <w:vMerge/>
          </w:tcPr>
          <w:p w14:paraId="07872CB0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</w:tc>
      </w:tr>
      <w:tr w:rsidR="00493AB3" w14:paraId="399A0F4A" w14:textId="77777777" w:rsidTr="00493AB3">
        <w:tc>
          <w:tcPr>
            <w:tcW w:w="1506" w:type="dxa"/>
          </w:tcPr>
          <w:p w14:paraId="4D7C0A27" w14:textId="3A01F598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Organizational Capacity</w:t>
            </w:r>
          </w:p>
        </w:tc>
        <w:tc>
          <w:tcPr>
            <w:tcW w:w="3933" w:type="dxa"/>
          </w:tcPr>
          <w:p w14:paraId="54317E77" w14:textId="7A6FAE2E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>H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No. of Training</w:t>
            </w:r>
          </w:p>
          <w:p w14:paraId="2A9E659E" w14:textId="4A874A4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</w:t>
            </w:r>
            <w:r w:rsidR="00CA7531">
              <w:rPr>
                <w:rFonts w:ascii="Helvetica" w:hAnsi="Helvetica"/>
                <w:sz w:val="20"/>
                <w:szCs w:val="20"/>
                <w:lang w:val="en-US"/>
              </w:rPr>
              <w:t>I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Longevity</w:t>
            </w:r>
          </w:p>
        </w:tc>
        <w:tc>
          <w:tcPr>
            <w:tcW w:w="2678" w:type="dxa"/>
          </w:tcPr>
          <w:p w14:paraId="19AD2402" w14:textId="1E4B8CBA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[0</w:t>
            </w:r>
            <w:r w:rsidR="00A353AB">
              <w:rPr>
                <w:rFonts w:ascii="Helvetica" w:hAnsi="Helvetica"/>
                <w:sz w:val="20"/>
                <w:szCs w:val="20"/>
                <w:lang w:val="en-US"/>
              </w:rPr>
              <w:t>2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] Sales Representative</w:t>
            </w:r>
          </w:p>
        </w:tc>
        <w:tc>
          <w:tcPr>
            <w:tcW w:w="2673" w:type="dxa"/>
            <w:vMerge/>
          </w:tcPr>
          <w:p w14:paraId="224B30C1" w14:textId="77777777" w:rsidR="00493AB3" w:rsidRDefault="00493AB3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</w:tc>
      </w:tr>
    </w:tbl>
    <w:p w14:paraId="2E81A5A7" w14:textId="77777777" w:rsidR="00B12BEE" w:rsidRDefault="00B12BEE">
      <w:pPr>
        <w:rPr>
          <w:rFonts w:ascii="Helvetica" w:hAnsi="Helvetica"/>
          <w:sz w:val="20"/>
          <w:szCs w:val="20"/>
          <w:lang w:val="en-US"/>
        </w:rPr>
      </w:pPr>
    </w:p>
    <w:p w14:paraId="3482FD9A" w14:textId="6CAF8374" w:rsidR="00493AB3" w:rsidRPr="00A353AB" w:rsidRDefault="00493AB3" w:rsidP="00DC4847">
      <w:pPr>
        <w:tabs>
          <w:tab w:val="left" w:pos="1560"/>
        </w:tabs>
        <w:rPr>
          <w:rFonts w:ascii="Helvetica" w:hAnsi="Helvetica"/>
          <w:sz w:val="18"/>
          <w:szCs w:val="18"/>
          <w:lang w:val="en-US"/>
        </w:rPr>
      </w:pPr>
      <w:r w:rsidRPr="00A353AB">
        <w:rPr>
          <w:rFonts w:ascii="Helvetica" w:hAnsi="Helvetica"/>
          <w:b/>
          <w:bCs/>
          <w:sz w:val="18"/>
          <w:szCs w:val="18"/>
          <w:lang w:val="en-US"/>
        </w:rPr>
        <w:t>Data Sources:</w:t>
      </w:r>
      <w:r w:rsidRPr="00A353AB">
        <w:rPr>
          <w:rFonts w:ascii="Helvetica" w:hAnsi="Helvetica"/>
          <w:sz w:val="18"/>
          <w:szCs w:val="18"/>
          <w:lang w:val="en-US"/>
        </w:rPr>
        <w:tab/>
        <w:t>Online System uses a MYSQL Database</w:t>
      </w:r>
      <w:r w:rsidR="00DC4847" w:rsidRPr="00A353AB">
        <w:rPr>
          <w:rFonts w:ascii="Helvetica" w:hAnsi="Helvetica"/>
          <w:sz w:val="18"/>
          <w:szCs w:val="18"/>
          <w:lang w:val="en-US"/>
        </w:rPr>
        <w:t xml:space="preserve"> (the script file of the database is provided)</w:t>
      </w:r>
    </w:p>
    <w:p w14:paraId="727D871C" w14:textId="3C88104D" w:rsidR="00493AB3" w:rsidRPr="00A353AB" w:rsidRDefault="00493AB3" w:rsidP="00DC4847">
      <w:pPr>
        <w:tabs>
          <w:tab w:val="left" w:pos="1560"/>
        </w:tabs>
        <w:rPr>
          <w:rFonts w:ascii="Helvetica" w:hAnsi="Helvetica"/>
          <w:sz w:val="18"/>
          <w:szCs w:val="18"/>
          <w:lang w:val="en-US"/>
        </w:rPr>
      </w:pPr>
      <w:r w:rsidRPr="00A353AB">
        <w:rPr>
          <w:rFonts w:ascii="Helvetica" w:hAnsi="Helvetica"/>
          <w:sz w:val="18"/>
          <w:szCs w:val="18"/>
          <w:lang w:val="en-US"/>
        </w:rPr>
        <w:tab/>
        <w:t>In-Call System uses an Excel Worksheet</w:t>
      </w:r>
    </w:p>
    <w:p w14:paraId="3F05CE3E" w14:textId="77777777" w:rsidR="00493AB3" w:rsidRPr="00A353AB" w:rsidRDefault="00493AB3">
      <w:pPr>
        <w:rPr>
          <w:rFonts w:ascii="Helvetica" w:hAnsi="Helvetica"/>
          <w:sz w:val="18"/>
          <w:szCs w:val="18"/>
          <w:lang w:val="en-US"/>
        </w:rPr>
      </w:pPr>
    </w:p>
    <w:p w14:paraId="2F3FD4B2" w14:textId="31B8E684" w:rsidR="00493AB3" w:rsidRPr="00A353AB" w:rsidRDefault="00DC4847" w:rsidP="00DC4847">
      <w:pPr>
        <w:tabs>
          <w:tab w:val="left" w:pos="1560"/>
        </w:tabs>
        <w:rPr>
          <w:rFonts w:ascii="Helvetica" w:hAnsi="Helvetica"/>
          <w:sz w:val="18"/>
          <w:szCs w:val="18"/>
          <w:lang w:val="en-US"/>
        </w:rPr>
      </w:pPr>
      <w:r w:rsidRPr="00A353AB">
        <w:rPr>
          <w:rFonts w:ascii="Helvetica" w:hAnsi="Helvetica"/>
          <w:b/>
          <w:bCs/>
          <w:sz w:val="18"/>
          <w:szCs w:val="18"/>
          <w:lang w:val="en-US"/>
        </w:rPr>
        <w:t>Objective:</w:t>
      </w:r>
      <w:r w:rsidRPr="00A353AB">
        <w:rPr>
          <w:rFonts w:ascii="Helvetica" w:hAnsi="Helvetica"/>
          <w:sz w:val="18"/>
          <w:szCs w:val="18"/>
          <w:lang w:val="en-US"/>
        </w:rPr>
        <w:tab/>
        <w:t>Design and Implement the Data Warehouse (including relevant statistical data) for the Company</w:t>
      </w:r>
    </w:p>
    <w:p w14:paraId="2A7516A1" w14:textId="0557DE5B" w:rsidR="00DC4847" w:rsidRPr="00A353AB" w:rsidRDefault="00DC4847" w:rsidP="00DC4847">
      <w:pPr>
        <w:tabs>
          <w:tab w:val="left" w:pos="1560"/>
        </w:tabs>
        <w:ind w:left="1560"/>
        <w:rPr>
          <w:rFonts w:ascii="Helvetica" w:hAnsi="Helvetica"/>
          <w:sz w:val="18"/>
          <w:szCs w:val="18"/>
          <w:lang w:val="en-US"/>
        </w:rPr>
      </w:pPr>
      <w:r w:rsidRPr="00A353AB">
        <w:rPr>
          <w:rFonts w:ascii="Helvetica" w:hAnsi="Helvetica"/>
          <w:sz w:val="18"/>
          <w:szCs w:val="18"/>
          <w:lang w:val="en-US"/>
        </w:rPr>
        <w:t xml:space="preserve">Design and </w:t>
      </w:r>
      <w:proofErr w:type="gramStart"/>
      <w:r w:rsidRPr="00A353AB">
        <w:rPr>
          <w:rFonts w:ascii="Helvetica" w:hAnsi="Helvetica"/>
          <w:sz w:val="18"/>
          <w:szCs w:val="18"/>
          <w:lang w:val="en-US"/>
        </w:rPr>
        <w:t>Implement</w:t>
      </w:r>
      <w:proofErr w:type="gramEnd"/>
      <w:r w:rsidRPr="00A353AB">
        <w:rPr>
          <w:rFonts w:ascii="Helvetica" w:hAnsi="Helvetica"/>
          <w:sz w:val="18"/>
          <w:szCs w:val="18"/>
          <w:lang w:val="en-US"/>
        </w:rPr>
        <w:t xml:space="preserve"> an automated ETL processing and integrating the data from the data sources and populate the Data Warehouse</w:t>
      </w:r>
    </w:p>
    <w:p w14:paraId="5E184C66" w14:textId="77777777" w:rsidR="00DC4847" w:rsidRPr="00A353AB" w:rsidRDefault="00DC4847" w:rsidP="00DC4847">
      <w:pPr>
        <w:rPr>
          <w:rFonts w:ascii="Helvetica" w:hAnsi="Helvetica"/>
          <w:sz w:val="18"/>
          <w:szCs w:val="18"/>
          <w:lang w:val="en-US"/>
        </w:rPr>
      </w:pPr>
    </w:p>
    <w:p w14:paraId="26D126CC" w14:textId="2D58A393" w:rsidR="00DC4847" w:rsidRPr="00A353AB" w:rsidRDefault="00DC4847" w:rsidP="00DC4847">
      <w:pPr>
        <w:tabs>
          <w:tab w:val="left" w:pos="1560"/>
        </w:tabs>
        <w:rPr>
          <w:rFonts w:ascii="Helvetica" w:hAnsi="Helvetica"/>
          <w:sz w:val="18"/>
          <w:szCs w:val="18"/>
          <w:lang w:val="en-US"/>
        </w:rPr>
      </w:pPr>
      <w:r w:rsidRPr="00A353AB">
        <w:rPr>
          <w:rFonts w:ascii="Helvetica" w:hAnsi="Helvetica"/>
          <w:b/>
          <w:bCs/>
          <w:sz w:val="18"/>
          <w:szCs w:val="18"/>
          <w:lang w:val="en-US"/>
        </w:rPr>
        <w:t>Discrepancies:</w:t>
      </w:r>
      <w:r w:rsidRPr="00A353AB">
        <w:rPr>
          <w:rFonts w:ascii="Helvetica" w:hAnsi="Helvetica"/>
          <w:b/>
          <w:bCs/>
          <w:sz w:val="18"/>
          <w:szCs w:val="18"/>
          <w:lang w:val="en-US"/>
        </w:rPr>
        <w:tab/>
      </w:r>
      <w:r w:rsidRPr="00A353AB">
        <w:rPr>
          <w:rFonts w:ascii="Helvetica" w:hAnsi="Helvetica"/>
          <w:sz w:val="18"/>
          <w:szCs w:val="18"/>
          <w:lang w:val="en-US"/>
        </w:rPr>
        <w:t>Discrepancies were identified by the Analyst that hinders the proper integration of the data. These are:</w:t>
      </w:r>
    </w:p>
    <w:p w14:paraId="5300F31F" w14:textId="77777777" w:rsidR="00A353AB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DC4847">
        <w:rPr>
          <w:rFonts w:ascii="Helvetica" w:hAnsi="Helvetica"/>
          <w:sz w:val="18"/>
          <w:szCs w:val="18"/>
        </w:rPr>
        <w:t xml:space="preserve">Status used for sales records on both data sources are not consistent. Fulfilled and Completed from the Online System is the same as Completed </w:t>
      </w:r>
      <w:r w:rsidRPr="00A353AB">
        <w:rPr>
          <w:rFonts w:ascii="Helvetica" w:hAnsi="Helvetica"/>
          <w:sz w:val="18"/>
          <w:szCs w:val="18"/>
        </w:rPr>
        <w:t xml:space="preserve">in the </w:t>
      </w:r>
      <w:r w:rsidRPr="00A353AB">
        <w:rPr>
          <w:rFonts w:ascii="Helvetica" w:hAnsi="Helvetica"/>
          <w:sz w:val="18"/>
          <w:szCs w:val="18"/>
        </w:rPr>
        <w:t>I</w:t>
      </w:r>
      <w:r w:rsidRPr="00A353AB">
        <w:rPr>
          <w:rFonts w:ascii="Helvetica" w:hAnsi="Helvetica"/>
          <w:sz w:val="18"/>
          <w:szCs w:val="18"/>
        </w:rPr>
        <w:t xml:space="preserve">n-Call System. Processed and Shipped in the </w:t>
      </w:r>
      <w:r w:rsidRPr="00A353AB">
        <w:rPr>
          <w:rFonts w:ascii="Helvetica" w:hAnsi="Helvetica"/>
          <w:sz w:val="18"/>
          <w:szCs w:val="18"/>
        </w:rPr>
        <w:t>I</w:t>
      </w:r>
      <w:r w:rsidRPr="00A353AB">
        <w:rPr>
          <w:rFonts w:ascii="Helvetica" w:hAnsi="Helvetica"/>
          <w:sz w:val="18"/>
          <w:szCs w:val="18"/>
        </w:rPr>
        <w:t>n-Call System is the same as pending in the Online System</w:t>
      </w:r>
      <w:r w:rsidRPr="00A353AB">
        <w:rPr>
          <w:rFonts w:ascii="Helvetica" w:hAnsi="Helvetica"/>
          <w:sz w:val="18"/>
          <w:szCs w:val="18"/>
        </w:rPr>
        <w:t xml:space="preserve">. </w:t>
      </w:r>
    </w:p>
    <w:p w14:paraId="0EFB09B6" w14:textId="328CC67F" w:rsidR="00DC4847" w:rsidRPr="00A353AB" w:rsidRDefault="00A353AB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A353AB">
        <w:rPr>
          <w:rFonts w:ascii="Helvetica" w:hAnsi="Helvetica"/>
          <w:sz w:val="18"/>
          <w:szCs w:val="18"/>
        </w:rPr>
        <w:t>In the In-Call System, the Fulfill date for processed and shipped orders is the promised delivery date.</w:t>
      </w:r>
    </w:p>
    <w:p w14:paraId="1B08A1AA" w14:textId="184FFBF6" w:rsidR="00DC4847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DC4847">
        <w:rPr>
          <w:rFonts w:ascii="Helvetica" w:hAnsi="Helvetica"/>
          <w:sz w:val="18"/>
          <w:szCs w:val="18"/>
        </w:rPr>
        <w:t xml:space="preserve">The rating system is also not consistent on both Online and </w:t>
      </w:r>
      <w:r w:rsidRPr="00A353AB">
        <w:rPr>
          <w:rFonts w:ascii="Helvetica" w:hAnsi="Helvetica"/>
          <w:sz w:val="18"/>
          <w:szCs w:val="18"/>
        </w:rPr>
        <w:t>I</w:t>
      </w:r>
      <w:r w:rsidRPr="00DC4847">
        <w:rPr>
          <w:rFonts w:ascii="Helvetica" w:hAnsi="Helvetica"/>
          <w:sz w:val="18"/>
          <w:szCs w:val="18"/>
        </w:rPr>
        <w:t xml:space="preserve">n-Call Systems. In the Online System, 5 is the highest rating and 1 is the lowest </w:t>
      </w:r>
      <w:r w:rsidRPr="00A353AB">
        <w:rPr>
          <w:rFonts w:ascii="Helvetica" w:hAnsi="Helvetica"/>
          <w:sz w:val="18"/>
          <w:szCs w:val="18"/>
        </w:rPr>
        <w:t xml:space="preserve">rating. In the </w:t>
      </w:r>
      <w:r w:rsidRPr="00A353AB">
        <w:rPr>
          <w:rFonts w:ascii="Helvetica" w:hAnsi="Helvetica"/>
          <w:sz w:val="18"/>
          <w:szCs w:val="18"/>
        </w:rPr>
        <w:t>I</w:t>
      </w:r>
      <w:r w:rsidRPr="00A353AB">
        <w:rPr>
          <w:rFonts w:ascii="Helvetica" w:hAnsi="Helvetica"/>
          <w:sz w:val="18"/>
          <w:szCs w:val="18"/>
        </w:rPr>
        <w:t xml:space="preserve">n-Call System, 5 is the lowest rating and 1 is the highest rating. </w:t>
      </w:r>
    </w:p>
    <w:p w14:paraId="73686C29" w14:textId="535A9813" w:rsidR="00DC4847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A353AB">
        <w:rPr>
          <w:rFonts w:ascii="Helvetica" w:hAnsi="Helvetica"/>
          <w:sz w:val="18"/>
          <w:szCs w:val="18"/>
        </w:rPr>
        <w:t>From interview with company executives, the standard</w:t>
      </w:r>
      <w:r w:rsidRPr="00A353AB">
        <w:rPr>
          <w:rFonts w:ascii="Helvetica" w:hAnsi="Helvetica"/>
          <w:sz w:val="18"/>
          <w:szCs w:val="18"/>
        </w:rPr>
        <w:t xml:space="preserve"> status</w:t>
      </w:r>
      <w:r w:rsidR="00A353AB" w:rsidRPr="00A353AB">
        <w:rPr>
          <w:rFonts w:ascii="Helvetica" w:hAnsi="Helvetica"/>
          <w:sz w:val="18"/>
          <w:szCs w:val="18"/>
        </w:rPr>
        <w:t xml:space="preserve"> (Completed and Pending)</w:t>
      </w:r>
      <w:r w:rsidRPr="00A353AB">
        <w:rPr>
          <w:rFonts w:ascii="Helvetica" w:hAnsi="Helvetica"/>
          <w:sz w:val="18"/>
          <w:szCs w:val="18"/>
        </w:rPr>
        <w:t xml:space="preserve"> </w:t>
      </w:r>
      <w:r w:rsidR="00A353AB" w:rsidRPr="00A353AB">
        <w:rPr>
          <w:rFonts w:ascii="Helvetica" w:hAnsi="Helvetica"/>
          <w:sz w:val="18"/>
          <w:szCs w:val="18"/>
        </w:rPr>
        <w:t xml:space="preserve">must be used in the integrated data, </w:t>
      </w:r>
      <w:r w:rsidRPr="00A353AB">
        <w:rPr>
          <w:rFonts w:ascii="Helvetica" w:hAnsi="Helvetica"/>
          <w:sz w:val="18"/>
          <w:szCs w:val="18"/>
        </w:rPr>
        <w:t xml:space="preserve">and </w:t>
      </w:r>
      <w:r w:rsidR="00A353AB" w:rsidRPr="00A353AB">
        <w:rPr>
          <w:rFonts w:ascii="Helvetica" w:hAnsi="Helvetica"/>
          <w:sz w:val="18"/>
          <w:szCs w:val="18"/>
        </w:rPr>
        <w:t xml:space="preserve">the </w:t>
      </w:r>
      <w:r w:rsidRPr="00A353AB">
        <w:rPr>
          <w:rFonts w:ascii="Helvetica" w:hAnsi="Helvetica"/>
          <w:sz w:val="18"/>
          <w:szCs w:val="18"/>
        </w:rPr>
        <w:t>rating system</w:t>
      </w:r>
      <w:r w:rsidRPr="00A353AB">
        <w:rPr>
          <w:rFonts w:ascii="Helvetica" w:hAnsi="Helvetica"/>
          <w:sz w:val="18"/>
          <w:szCs w:val="18"/>
        </w:rPr>
        <w:t xml:space="preserve"> to follow is what the Online System is using.</w:t>
      </w:r>
    </w:p>
    <w:p w14:paraId="042BC3F6" w14:textId="77777777" w:rsidR="00A353AB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DC4847">
        <w:rPr>
          <w:rFonts w:ascii="Helvetica" w:hAnsi="Helvetica"/>
          <w:sz w:val="18"/>
          <w:szCs w:val="18"/>
        </w:rPr>
        <w:t xml:space="preserve">In the Online System, a Service 0 means that the sales were for orders; a Service 1 means that the sales were for service. A sales record can only be </w:t>
      </w:r>
      <w:r w:rsidRPr="00A353AB">
        <w:rPr>
          <w:rFonts w:ascii="Helvetica" w:hAnsi="Helvetica"/>
          <w:sz w:val="18"/>
          <w:szCs w:val="18"/>
        </w:rPr>
        <w:t xml:space="preserve">for either an order or service, but not both. </w:t>
      </w:r>
    </w:p>
    <w:p w14:paraId="76281FDD" w14:textId="55890258" w:rsidR="00DC4847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A353AB">
        <w:rPr>
          <w:rFonts w:ascii="Helvetica" w:hAnsi="Helvetica"/>
          <w:sz w:val="18"/>
          <w:szCs w:val="18"/>
        </w:rPr>
        <w:t xml:space="preserve">In the </w:t>
      </w:r>
      <w:r w:rsidRPr="00A353AB">
        <w:rPr>
          <w:rFonts w:ascii="Helvetica" w:hAnsi="Helvetica"/>
          <w:sz w:val="18"/>
          <w:szCs w:val="18"/>
        </w:rPr>
        <w:t>I</w:t>
      </w:r>
      <w:r w:rsidRPr="00A353AB">
        <w:rPr>
          <w:rFonts w:ascii="Helvetica" w:hAnsi="Helvetica"/>
          <w:sz w:val="18"/>
          <w:szCs w:val="18"/>
        </w:rPr>
        <w:t>n-Call Systems, orders and service sales are recorded separately even if they are both under the</w:t>
      </w:r>
      <w:r w:rsidRPr="00A353AB">
        <w:rPr>
          <w:rFonts w:ascii="Helvetica" w:hAnsi="Helvetica"/>
          <w:sz w:val="18"/>
          <w:szCs w:val="18"/>
        </w:rPr>
        <w:t xml:space="preserve"> </w:t>
      </w:r>
      <w:r w:rsidRPr="00A353AB">
        <w:rPr>
          <w:rFonts w:ascii="Helvetica" w:hAnsi="Helvetica"/>
          <w:sz w:val="18"/>
          <w:szCs w:val="18"/>
        </w:rPr>
        <w:t xml:space="preserve">same order number. </w:t>
      </w:r>
    </w:p>
    <w:p w14:paraId="71923596" w14:textId="759E1613" w:rsidR="00DC4847" w:rsidRPr="00A353AB" w:rsidRDefault="00DC4847" w:rsidP="00DC4847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DC4847">
        <w:rPr>
          <w:rFonts w:ascii="Helvetica" w:hAnsi="Helvetica"/>
          <w:sz w:val="18"/>
          <w:szCs w:val="18"/>
        </w:rPr>
        <w:t xml:space="preserve">It is possible that the same customers are recorded in the </w:t>
      </w:r>
      <w:r w:rsidRPr="00A353AB">
        <w:rPr>
          <w:rFonts w:ascii="Helvetica" w:hAnsi="Helvetica"/>
          <w:sz w:val="18"/>
          <w:szCs w:val="18"/>
        </w:rPr>
        <w:t>I</w:t>
      </w:r>
      <w:r w:rsidRPr="00DC4847">
        <w:rPr>
          <w:rFonts w:ascii="Helvetica" w:hAnsi="Helvetica"/>
          <w:sz w:val="18"/>
          <w:szCs w:val="18"/>
        </w:rPr>
        <w:t xml:space="preserve">n-Call and Online Systems with different customer numbers. The customer names are </w:t>
      </w:r>
      <w:r w:rsidRPr="00A353AB">
        <w:rPr>
          <w:rFonts w:ascii="Helvetica" w:hAnsi="Helvetica"/>
          <w:sz w:val="18"/>
          <w:szCs w:val="18"/>
        </w:rPr>
        <w:t xml:space="preserve">recorded uniquely on both Systems. </w:t>
      </w:r>
    </w:p>
    <w:p w14:paraId="643CD607" w14:textId="01F2A984" w:rsidR="00CA7531" w:rsidRDefault="00CA7531" w:rsidP="00A353AB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Helvetica" w:hAnsi="Helvetica"/>
          <w:sz w:val="18"/>
          <w:szCs w:val="18"/>
        </w:rPr>
      </w:pPr>
      <w:r w:rsidRPr="00CA7531">
        <w:rPr>
          <w:rFonts w:ascii="Helvetica" w:hAnsi="Helvetica"/>
          <w:sz w:val="18"/>
          <w:szCs w:val="18"/>
        </w:rPr>
        <w:t xml:space="preserve">The amount in the Online System is inclusive of the </w:t>
      </w:r>
      <w:r w:rsidRPr="00A353AB">
        <w:rPr>
          <w:rFonts w:ascii="Helvetica" w:hAnsi="Helvetica"/>
          <w:sz w:val="18"/>
          <w:szCs w:val="18"/>
        </w:rPr>
        <w:t>1</w:t>
      </w:r>
      <w:r w:rsidRPr="00CA7531">
        <w:rPr>
          <w:rFonts w:ascii="Helvetica" w:hAnsi="Helvetica"/>
          <w:sz w:val="18"/>
          <w:szCs w:val="18"/>
        </w:rPr>
        <w:t>% system management fee and should not be recognized as sales</w:t>
      </w:r>
      <w:r w:rsidRPr="00A353AB">
        <w:rPr>
          <w:rFonts w:ascii="Helvetica" w:hAnsi="Helvetica"/>
          <w:sz w:val="18"/>
          <w:szCs w:val="18"/>
        </w:rPr>
        <w:t>, but an expense. The discount in the In-Call System should not be more than 2% of the sales amount. If is beyond 2% of the sales amount, it is considered an expense for the company.</w:t>
      </w:r>
    </w:p>
    <w:p w14:paraId="49673353" w14:textId="77777777" w:rsidR="00A353AB" w:rsidRPr="00A353AB" w:rsidRDefault="00A353AB" w:rsidP="00A353AB">
      <w:pPr>
        <w:pStyle w:val="ListParagraph"/>
        <w:tabs>
          <w:tab w:val="left" w:pos="1560"/>
        </w:tabs>
        <w:ind w:left="1920"/>
        <w:rPr>
          <w:rFonts w:ascii="Helvetica" w:hAnsi="Helvetica"/>
          <w:sz w:val="18"/>
          <w:szCs w:val="18"/>
        </w:rPr>
      </w:pPr>
    </w:p>
    <w:p w14:paraId="6ABEF12E" w14:textId="58513D8B" w:rsidR="00A353AB" w:rsidRDefault="00A353AB" w:rsidP="00A353AB">
      <w:pPr>
        <w:tabs>
          <w:tab w:val="left" w:pos="1560"/>
        </w:tabs>
        <w:ind w:left="1440" w:hanging="1440"/>
        <w:rPr>
          <w:rFonts w:ascii="Helvetica" w:hAnsi="Helvetica"/>
          <w:sz w:val="18"/>
          <w:szCs w:val="18"/>
        </w:rPr>
      </w:pPr>
      <w:r w:rsidRPr="00A353AB">
        <w:rPr>
          <w:rFonts w:ascii="Helvetica" w:hAnsi="Helvetica"/>
          <w:b/>
          <w:bCs/>
          <w:sz w:val="18"/>
          <w:szCs w:val="18"/>
        </w:rPr>
        <w:t>Research:</w:t>
      </w:r>
      <w:r>
        <w:rPr>
          <w:rFonts w:ascii="Helvetica" w:hAnsi="Helvetica"/>
          <w:b/>
          <w:bCs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>There are other ETL tools that may need to be used to completely satisfy the requirement, especially in mapping values that are in conflict.</w:t>
      </w:r>
    </w:p>
    <w:p w14:paraId="3A02907C" w14:textId="77777777" w:rsidR="00A353AB" w:rsidRDefault="00A353AB" w:rsidP="00A353AB">
      <w:pPr>
        <w:tabs>
          <w:tab w:val="left" w:pos="1560"/>
        </w:tabs>
        <w:rPr>
          <w:rFonts w:ascii="Helvetica" w:hAnsi="Helvetica"/>
          <w:sz w:val="18"/>
          <w:szCs w:val="18"/>
        </w:rPr>
      </w:pPr>
    </w:p>
    <w:p w14:paraId="58FE5499" w14:textId="77777777" w:rsidR="00A353AB" w:rsidRPr="00A353AB" w:rsidRDefault="00A353AB" w:rsidP="00A353AB">
      <w:pPr>
        <w:tabs>
          <w:tab w:val="left" w:pos="1560"/>
        </w:tabs>
        <w:rPr>
          <w:rFonts w:ascii="Helvetica" w:hAnsi="Helvetica"/>
          <w:sz w:val="18"/>
          <w:szCs w:val="18"/>
        </w:rPr>
      </w:pPr>
    </w:p>
    <w:p w14:paraId="7A0BC4E7" w14:textId="77777777" w:rsidR="00DC4847" w:rsidRPr="00DC4847" w:rsidRDefault="00DC4847" w:rsidP="00DC4847">
      <w:pPr>
        <w:tabs>
          <w:tab w:val="left" w:pos="1560"/>
        </w:tabs>
        <w:ind w:left="1560"/>
        <w:rPr>
          <w:rFonts w:ascii="Helvetica" w:hAnsi="Helvetica"/>
          <w:sz w:val="20"/>
          <w:szCs w:val="20"/>
        </w:rPr>
      </w:pPr>
    </w:p>
    <w:p w14:paraId="34D14436" w14:textId="77777777" w:rsidR="00DC4847" w:rsidRDefault="00DC4847" w:rsidP="00DC4847">
      <w:pPr>
        <w:ind w:left="2160"/>
        <w:rPr>
          <w:rFonts w:ascii="Helvetica" w:hAnsi="Helvetica"/>
          <w:sz w:val="20"/>
          <w:szCs w:val="20"/>
          <w:lang w:val="en-US"/>
        </w:rPr>
      </w:pPr>
    </w:p>
    <w:p w14:paraId="40CBADA2" w14:textId="77777777" w:rsidR="00DC4847" w:rsidRDefault="00DC4847" w:rsidP="00DC4847">
      <w:pPr>
        <w:ind w:left="2160"/>
        <w:rPr>
          <w:rFonts w:ascii="Helvetica" w:hAnsi="Helvetica"/>
          <w:sz w:val="20"/>
          <w:szCs w:val="20"/>
          <w:lang w:val="en-US"/>
        </w:rPr>
      </w:pPr>
    </w:p>
    <w:p w14:paraId="71044E79" w14:textId="7238C8C0" w:rsidR="00DC4847" w:rsidRPr="00B12BEE" w:rsidRDefault="00DC48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ab/>
      </w:r>
      <w:r>
        <w:rPr>
          <w:rFonts w:ascii="Helvetica" w:hAnsi="Helvetica"/>
          <w:sz w:val="20"/>
          <w:szCs w:val="20"/>
          <w:lang w:val="en-US"/>
        </w:rPr>
        <w:tab/>
      </w:r>
      <w:r>
        <w:rPr>
          <w:rFonts w:ascii="Helvetica" w:hAnsi="Helvetica"/>
          <w:sz w:val="20"/>
          <w:szCs w:val="20"/>
          <w:lang w:val="en-US"/>
        </w:rPr>
        <w:tab/>
      </w:r>
    </w:p>
    <w:sectPr w:rsidR="00DC4847" w:rsidRPr="00B12BEE" w:rsidSect="00727CE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4D13" w14:textId="77777777" w:rsidR="00727CE1" w:rsidRDefault="00727CE1" w:rsidP="00B12BEE">
      <w:r>
        <w:separator/>
      </w:r>
    </w:p>
  </w:endnote>
  <w:endnote w:type="continuationSeparator" w:id="0">
    <w:p w14:paraId="088B8390" w14:textId="77777777" w:rsidR="00727CE1" w:rsidRDefault="00727CE1" w:rsidP="00B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7780" w14:textId="77777777" w:rsidR="00727CE1" w:rsidRDefault="00727CE1" w:rsidP="00B12BEE">
      <w:r>
        <w:separator/>
      </w:r>
    </w:p>
  </w:footnote>
  <w:footnote w:type="continuationSeparator" w:id="0">
    <w:p w14:paraId="5F36FE52" w14:textId="77777777" w:rsidR="00727CE1" w:rsidRDefault="00727CE1" w:rsidP="00B1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524B" w14:textId="7FCF864A" w:rsidR="00B12BEE" w:rsidRPr="00B12BEE" w:rsidRDefault="00B12BEE">
    <w:pPr>
      <w:pStyle w:val="Header"/>
      <w:rPr>
        <w:rFonts w:ascii="Helvetica" w:hAnsi="Helvetica"/>
        <w:b/>
        <w:bCs/>
        <w:sz w:val="20"/>
        <w:szCs w:val="20"/>
        <w:lang w:val="en-US"/>
      </w:rPr>
    </w:pPr>
    <w:r w:rsidRPr="00B12BEE">
      <w:rPr>
        <w:rFonts w:ascii="Helvetica" w:hAnsi="Helvetica"/>
        <w:b/>
        <w:bCs/>
        <w:sz w:val="20"/>
        <w:szCs w:val="20"/>
        <w:lang w:val="en-US"/>
      </w:rPr>
      <w:t>ISINFOM / ISBUSAN</w:t>
    </w:r>
  </w:p>
  <w:p w14:paraId="0E6C6216" w14:textId="1FEE9662" w:rsidR="00B12BEE" w:rsidRDefault="00B12BEE">
    <w:pPr>
      <w:pStyle w:val="Header"/>
      <w:rPr>
        <w:rFonts w:ascii="Helvetica" w:hAnsi="Helvetica"/>
        <w:sz w:val="20"/>
        <w:szCs w:val="20"/>
        <w:lang w:val="en-US"/>
      </w:rPr>
    </w:pPr>
    <w:r w:rsidRPr="00B12BEE">
      <w:rPr>
        <w:rFonts w:ascii="Helvetica" w:hAnsi="Helvetica"/>
        <w:sz w:val="20"/>
        <w:szCs w:val="20"/>
        <w:lang w:val="en-US"/>
      </w:rPr>
      <w:t>ETL and Data Warehouse Module Output Specifications</w:t>
    </w:r>
  </w:p>
  <w:p w14:paraId="373B5AE2" w14:textId="214E55FD" w:rsidR="00B12BEE" w:rsidRPr="00B12BEE" w:rsidRDefault="00B12BEE" w:rsidP="00B12BEE">
    <w:pPr>
      <w:pStyle w:val="Header"/>
      <w:jc w:val="right"/>
      <w:rPr>
        <w:rFonts w:ascii="Helvetica" w:hAnsi="Helvetica"/>
        <w:sz w:val="15"/>
        <w:szCs w:val="15"/>
        <w:lang w:val="en-US"/>
      </w:rPr>
    </w:pPr>
    <w:r w:rsidRPr="00B12BEE">
      <w:rPr>
        <w:rFonts w:ascii="Helvetica" w:hAnsi="Helvetica"/>
        <w:sz w:val="15"/>
        <w:szCs w:val="15"/>
        <w:lang w:val="en-US"/>
      </w:rPr>
      <w:t>Updated: February 2024</w:t>
    </w:r>
  </w:p>
  <w:p w14:paraId="6772DD99" w14:textId="77777777" w:rsidR="00B12BEE" w:rsidRPr="00B12BEE" w:rsidRDefault="00B12BEE">
    <w:pPr>
      <w:pStyle w:val="Header"/>
      <w:rPr>
        <w:rFonts w:ascii="Helvetica" w:hAnsi="Helvetica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C8B"/>
    <w:multiLevelType w:val="multilevel"/>
    <w:tmpl w:val="B314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38D"/>
    <w:multiLevelType w:val="multilevel"/>
    <w:tmpl w:val="FEB0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85AF9"/>
    <w:multiLevelType w:val="multilevel"/>
    <w:tmpl w:val="A1E6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43754"/>
    <w:multiLevelType w:val="multilevel"/>
    <w:tmpl w:val="A90C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E001B"/>
    <w:multiLevelType w:val="multilevel"/>
    <w:tmpl w:val="7F94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37758"/>
    <w:multiLevelType w:val="hybridMultilevel"/>
    <w:tmpl w:val="062649CC"/>
    <w:lvl w:ilvl="0" w:tplc="98D4A19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2030402823">
    <w:abstractNumId w:val="5"/>
  </w:num>
  <w:num w:numId="2" w16cid:durableId="588999882">
    <w:abstractNumId w:val="1"/>
  </w:num>
  <w:num w:numId="3" w16cid:durableId="107169261">
    <w:abstractNumId w:val="0"/>
  </w:num>
  <w:num w:numId="4" w16cid:durableId="762577193">
    <w:abstractNumId w:val="2"/>
  </w:num>
  <w:num w:numId="5" w16cid:durableId="1620793627">
    <w:abstractNumId w:val="4"/>
  </w:num>
  <w:num w:numId="6" w16cid:durableId="153349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EE"/>
    <w:rsid w:val="003D14DD"/>
    <w:rsid w:val="00430047"/>
    <w:rsid w:val="00493AB3"/>
    <w:rsid w:val="004C7DA8"/>
    <w:rsid w:val="00727CE1"/>
    <w:rsid w:val="008826AA"/>
    <w:rsid w:val="00A353AB"/>
    <w:rsid w:val="00A74A50"/>
    <w:rsid w:val="00B12BEE"/>
    <w:rsid w:val="00CA7531"/>
    <w:rsid w:val="00D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AABD"/>
  <w15:chartTrackingRefBased/>
  <w15:docId w15:val="{0FFCC260-6BF3-F844-9F50-9205898F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BEE"/>
  </w:style>
  <w:style w:type="paragraph" w:styleId="Footer">
    <w:name w:val="footer"/>
    <w:basedOn w:val="Normal"/>
    <w:link w:val="FooterChar"/>
    <w:uiPriority w:val="99"/>
    <w:unhideWhenUsed/>
    <w:rsid w:val="00B12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BEE"/>
  </w:style>
  <w:style w:type="table" w:styleId="TableGrid">
    <w:name w:val="Table Grid"/>
    <w:basedOn w:val="TableNormal"/>
    <w:uiPriority w:val="39"/>
    <w:rsid w:val="00B1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A. Malabanan</dc:creator>
  <cp:keywords/>
  <dc:description/>
  <cp:lastModifiedBy>Oliver  A. Malabanan</cp:lastModifiedBy>
  <cp:revision>1</cp:revision>
  <dcterms:created xsi:type="dcterms:W3CDTF">2024-02-13T21:16:00Z</dcterms:created>
  <dcterms:modified xsi:type="dcterms:W3CDTF">2024-02-13T22:12:00Z</dcterms:modified>
</cp:coreProperties>
</file>