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Growth Sleeve Scoring Model Backtest and Semiconductor Cycle Analysis</w:t>
      </w:r>
    </w:p>
    <w:p>
      <w:pPr>
        <w:jc w:val="left"/>
      </w:pPr>
      <w:r>
        <w:rPr>
          <w:rFonts w:ascii="Arial" w:hAnsi="Arial"/>
          <w:b/>
          <w:sz w:val="28"/>
        </w:rPr>
        <w:t>Retrospective screening test across 18 companies, plus a six-stock DRAM and foundry diagnostic</w:t>
      </w:r>
    </w:p>
    <w:p>
      <w:r>
        <w:rPr>
          <w:b/>
        </w:rPr>
        <w:t>Scoring date 20 March 2026</w:t>
        <w:br/>
      </w:r>
      <w:r>
        <w:t>Performance comparison through 18 September 2026</w:t>
        <w:br/>
      </w:r>
      <w:r>
        <w:t>Prepared for the Wharton Global High School Investment Competition team</w:t>
      </w:r>
    </w:p>
    <w:p>
      <w:r>
        <w:t>The model showed useful ranking information in this limited test, but the result is not yet strong enough to treat the score as a return forecast. Across 13 companies with sufficient data, score rank had a 0.48 correlation with subsequent USD return. The highest-score quartile returned 17.1% on average compared with -0.4% for the lowest quartile, a spread of 17.4%. The evidence supports using the model as a disciplined screening and comparison tool while expanding the test period and improving point-in-time filing data.</w:t>
      </w:r>
    </w:p>
    <w:p>
      <w:pPr>
        <w:pStyle w:val="Heading1"/>
      </w:pPr>
      <w:r>
        <w:t>Main findings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vAlign w:val="center"/>
            <w:tcMar>
              <w:top w:w="90" w:type="dxa"/>
              <w:start w:w="90" w:type="dxa"/>
              <w:bottom w:w="90" w:type="dxa"/>
              <w:end w:w="90" w:type="dxa"/>
            </w:tcMar>
            <w:shd w:fill="17365D"/>
          </w:tcPr>
          <w:p>
            <w:pPr>
              <w:spacing w:after="0" w:line="240" w:lineRule="auto"/>
            </w:pPr>
            <w:r>
              <w:rPr>
                <w:rFonts w:ascii="Arial" w:hAnsi="Arial"/>
                <w:b/>
                <w:color w:val="FFFFFF"/>
                <w:sz w:val="19"/>
              </w:rPr>
              <w:t>Measure</w:t>
            </w:r>
          </w:p>
        </w:tc>
        <w:tc>
          <w:tcPr>
            <w:tcW w:type="dxa" w:w="7848"/>
            <w:vAlign w:val="center"/>
            <w:tcMar>
              <w:top w:w="90" w:type="dxa"/>
              <w:start w:w="90" w:type="dxa"/>
              <w:bottom w:w="90" w:type="dxa"/>
              <w:end w:w="90" w:type="dxa"/>
            </w:tcMar>
            <w:shd w:fill="17365D"/>
          </w:tcPr>
          <w:p>
            <w:pPr>
              <w:spacing w:after="0" w:line="240" w:lineRule="auto"/>
            </w:pPr>
            <w:r>
              <w:rPr>
                <w:rFonts w:ascii="Arial" w:hAnsi="Arial"/>
                <w:b/>
                <w:color w:val="FFFFFF"/>
                <w:sz w:val="19"/>
              </w:rPr>
              <w:t>Result</w:t>
            </w:r>
          </w:p>
        </w:tc>
      </w:tr>
      <w:tr>
        <w:tc>
          <w:tcPr>
            <w:tcW w:type="dxa" w:w="1944"/>
            <w:vAlign w:val="center"/>
            <w:tcMar>
              <w:top w:w="90" w:type="dxa"/>
              <w:start w:w="90" w:type="dxa"/>
              <w:bottom w:w="90" w:type="dxa"/>
              <w:end w:w="90" w:type="dxa"/>
            </w:tcMar>
          </w:tcPr>
          <w:p>
            <w:pPr>
              <w:spacing w:after="0" w:line="240" w:lineRule="auto"/>
            </w:pPr>
            <w:r>
              <w:rPr>
                <w:rFonts w:ascii="Arial" w:hAnsi="Arial"/>
                <w:sz w:val="19"/>
              </w:rPr>
              <w:t>Coverage</w:t>
            </w:r>
          </w:p>
        </w:tc>
        <w:tc>
          <w:tcPr>
            <w:tcW w:type="dxa" w:w="7848"/>
            <w:vAlign w:val="center"/>
            <w:tcMar>
              <w:top w:w="90" w:type="dxa"/>
              <w:start w:w="90" w:type="dxa"/>
              <w:bottom w:w="90" w:type="dxa"/>
              <w:end w:w="90" w:type="dxa"/>
            </w:tcMar>
          </w:tcPr>
          <w:p>
            <w:pPr>
              <w:spacing w:after="0" w:line="240" w:lineRule="auto"/>
            </w:pPr>
            <w:r>
              <w:rPr>
                <w:rFonts w:ascii="Arial" w:hAnsi="Arial"/>
                <w:sz w:val="19"/>
              </w:rPr>
              <w:t>13 of 18 companies produced actionable verdicts; 5 were marked Insufficient Data.</w:t>
            </w:r>
          </w:p>
        </w:tc>
      </w:tr>
      <w:tr>
        <w:tc>
          <w:tcPr>
            <w:tcW w:type="dxa" w:w="1944"/>
            <w:vAlign w:val="center"/>
            <w:tcMar>
              <w:top w:w="90" w:type="dxa"/>
              <w:start w:w="90" w:type="dxa"/>
              <w:bottom w:w="90" w:type="dxa"/>
              <w:end w:w="90" w:type="dxa"/>
            </w:tcMar>
            <w:shd w:fill="EAF3F8"/>
          </w:tcPr>
          <w:p>
            <w:pPr>
              <w:spacing w:after="0" w:line="240" w:lineRule="auto"/>
            </w:pPr>
            <w:r>
              <w:rPr>
                <w:rFonts w:ascii="Arial" w:hAnsi="Arial"/>
                <w:sz w:val="19"/>
              </w:rPr>
              <w:t>Ranking signal</w:t>
            </w:r>
          </w:p>
        </w:tc>
        <w:tc>
          <w:tcPr>
            <w:tcW w:type="dxa" w:w="7848"/>
            <w:vAlign w:val="center"/>
            <w:tcMar>
              <w:top w:w="90" w:type="dxa"/>
              <w:start w:w="90" w:type="dxa"/>
              <w:bottom w:w="90" w:type="dxa"/>
              <w:end w:w="90" w:type="dxa"/>
            </w:tcMar>
            <w:shd w:fill="EAF3F8"/>
          </w:tcPr>
          <w:p>
            <w:pPr>
              <w:spacing w:after="0" w:line="240" w:lineRule="auto"/>
            </w:pPr>
            <w:r>
              <w:rPr>
                <w:rFonts w:ascii="Arial" w:hAnsi="Arial"/>
                <w:sz w:val="19"/>
              </w:rPr>
              <w:t>Spearman rank correlation was 0.48 against USD return and 0.35 against local-benchmark-relative USD return.</w:t>
            </w:r>
          </w:p>
        </w:tc>
      </w:tr>
      <w:tr>
        <w:tc>
          <w:tcPr>
            <w:tcW w:type="dxa" w:w="1944"/>
            <w:vAlign w:val="center"/>
            <w:tcMar>
              <w:top w:w="90" w:type="dxa"/>
              <w:start w:w="90" w:type="dxa"/>
              <w:bottom w:w="90" w:type="dxa"/>
              <w:end w:w="90" w:type="dxa"/>
            </w:tcMar>
          </w:tcPr>
          <w:p>
            <w:pPr>
              <w:spacing w:after="0" w:line="240" w:lineRule="auto"/>
            </w:pPr>
            <w:r>
              <w:rPr>
                <w:rFonts w:ascii="Arial" w:hAnsi="Arial"/>
                <w:sz w:val="19"/>
              </w:rPr>
              <w:t>Score separation</w:t>
            </w:r>
          </w:p>
        </w:tc>
        <w:tc>
          <w:tcPr>
            <w:tcW w:type="dxa" w:w="7848"/>
            <w:vAlign w:val="center"/>
            <w:tcMar>
              <w:top w:w="90" w:type="dxa"/>
              <w:start w:w="90" w:type="dxa"/>
              <w:bottom w:w="90" w:type="dxa"/>
              <w:end w:w="90" w:type="dxa"/>
            </w:tcMar>
          </w:tcPr>
          <w:p>
            <w:pPr>
              <w:spacing w:after="0" w:line="240" w:lineRule="auto"/>
            </w:pPr>
            <w:r>
              <w:rPr>
                <w:rFonts w:ascii="Arial" w:hAnsi="Arial"/>
                <w:sz w:val="19"/>
              </w:rPr>
              <w:t>Top quartile minus bottom quartile USD return was 17.4%.</w:t>
            </w:r>
          </w:p>
        </w:tc>
      </w:tr>
      <w:tr>
        <w:tc>
          <w:tcPr>
            <w:tcW w:type="dxa" w:w="1944"/>
            <w:vAlign w:val="center"/>
            <w:tcMar>
              <w:top w:w="90" w:type="dxa"/>
              <w:start w:w="90" w:type="dxa"/>
              <w:bottom w:w="90" w:type="dxa"/>
              <w:end w:w="90" w:type="dxa"/>
            </w:tcMar>
            <w:shd w:fill="EAF3F8"/>
          </w:tcPr>
          <w:p>
            <w:pPr>
              <w:spacing w:after="0" w:line="240" w:lineRule="auto"/>
            </w:pPr>
            <w:r>
              <w:rPr>
                <w:rFonts w:ascii="Arial" w:hAnsi="Arial"/>
                <w:sz w:val="19"/>
              </w:rPr>
              <w:t>Verdict groups</w:t>
            </w:r>
          </w:p>
        </w:tc>
        <w:tc>
          <w:tcPr>
            <w:tcW w:type="dxa" w:w="7848"/>
            <w:vAlign w:val="center"/>
            <w:tcMar>
              <w:top w:w="90" w:type="dxa"/>
              <w:start w:w="90" w:type="dxa"/>
              <w:bottom w:w="90" w:type="dxa"/>
              <w:end w:w="90" w:type="dxa"/>
            </w:tcMar>
            <w:shd w:fill="EAF3F8"/>
          </w:tcPr>
          <w:p>
            <w:pPr>
              <w:spacing w:after="0" w:line="240" w:lineRule="auto"/>
            </w:pPr>
            <w:r>
              <w:rPr>
                <w:rFonts w:ascii="Arial" w:hAnsi="Arial"/>
                <w:sz w:val="19"/>
              </w:rPr>
              <w:t>Watch names returned 15.8% on average; Reject names returned 2.9%.</w:t>
            </w:r>
          </w:p>
        </w:tc>
      </w:tr>
      <w:tr>
        <w:tc>
          <w:tcPr>
            <w:tcW w:type="dxa" w:w="1944"/>
            <w:vAlign w:val="center"/>
            <w:tcMar>
              <w:top w:w="90" w:type="dxa"/>
              <w:start w:w="90" w:type="dxa"/>
              <w:bottom w:w="90" w:type="dxa"/>
              <w:end w:w="90" w:type="dxa"/>
            </w:tcMar>
          </w:tcPr>
          <w:p>
            <w:pPr>
              <w:spacing w:after="0" w:line="240" w:lineRule="auto"/>
            </w:pPr>
            <w:r>
              <w:rPr>
                <w:rFonts w:ascii="Arial" w:hAnsi="Arial"/>
                <w:sz w:val="19"/>
              </w:rPr>
              <w:t>Buy result</w:t>
            </w:r>
          </w:p>
        </w:tc>
        <w:tc>
          <w:tcPr>
            <w:tcW w:type="dxa" w:w="7848"/>
            <w:vAlign w:val="center"/>
            <w:tcMar>
              <w:top w:w="90" w:type="dxa"/>
              <w:start w:w="90" w:type="dxa"/>
              <w:bottom w:w="90" w:type="dxa"/>
              <w:end w:w="90" w:type="dxa"/>
            </w:tcMar>
          </w:tcPr>
          <w:p>
            <w:pPr>
              <w:spacing w:after="0" w:line="240" w:lineRule="auto"/>
            </w:pPr>
            <w:r>
              <w:rPr>
                <w:rFonts w:ascii="Arial" w:hAnsi="Arial"/>
                <w:sz w:val="19"/>
              </w:rPr>
              <w:t>The single Buy Candidate returned 34.2% in USD but -6.2% relative to its local benchmark.</w:t>
            </w:r>
          </w:p>
        </w:tc>
      </w:tr>
      <w:tr>
        <w:tc>
          <w:tcPr>
            <w:tcW w:type="dxa" w:w="1944"/>
            <w:vAlign w:val="center"/>
            <w:tcMar>
              <w:top w:w="90" w:type="dxa"/>
              <w:start w:w="90" w:type="dxa"/>
              <w:bottom w:w="90" w:type="dxa"/>
              <w:end w:w="90" w:type="dxa"/>
            </w:tcMar>
            <w:shd w:fill="EAF3F8"/>
          </w:tcPr>
          <w:p>
            <w:pPr>
              <w:spacing w:after="0" w:line="240" w:lineRule="auto"/>
            </w:pPr>
            <w:r>
              <w:rPr>
                <w:rFonts w:ascii="Arial" w:hAnsi="Arial"/>
                <w:sz w:val="19"/>
              </w:rPr>
              <w:t>Directional test</w:t>
            </w:r>
          </w:p>
        </w:tc>
        <w:tc>
          <w:tcPr>
            <w:tcW w:type="dxa" w:w="7848"/>
            <w:vAlign w:val="center"/>
            <w:tcMar>
              <w:top w:w="90" w:type="dxa"/>
              <w:start w:w="90" w:type="dxa"/>
              <w:bottom w:w="90" w:type="dxa"/>
              <w:end w:w="90" w:type="dxa"/>
            </w:tcMar>
            <w:shd w:fill="EAF3F8"/>
          </w:tcPr>
          <w:p>
            <w:pPr>
              <w:spacing w:after="0" w:line="240" w:lineRule="auto"/>
            </w:pPr>
            <w:r>
              <w:rPr>
                <w:rFonts w:ascii="Arial" w:hAnsi="Arial"/>
                <w:sz w:val="19"/>
              </w:rPr>
              <w:t>The directional hit rate was 77.8% for Buy outperformance and Reject underperformance. Watch names were excluded from this binary test.</w:t>
            </w:r>
          </w:p>
        </w:tc>
      </w:tr>
    </w:tbl>
    <w:p>
      <w:r>
        <w:br w:type="page"/>
      </w:r>
    </w:p>
    <w:p>
      <w:pPr>
        <w:pStyle w:val="Heading1"/>
      </w:pPr>
      <w:r>
        <w:t>All-sector enhancement result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680"/>
            <w:vAlign w:val="center"/>
            <w:tcMar>
              <w:top w:w="90" w:type="dxa"/>
              <w:start w:w="90" w:type="dxa"/>
              <w:bottom w:w="90" w:type="dxa"/>
              <w:end w:w="90" w:type="dxa"/>
            </w:tcMar>
            <w:shd w:fill="17365D"/>
          </w:tcPr>
          <w:p>
            <w:pPr>
              <w:spacing w:after="0" w:line="240" w:lineRule="auto"/>
            </w:pPr>
            <w:r>
              <w:rPr>
                <w:rFonts w:ascii="Arial" w:hAnsi="Arial"/>
                <w:b/>
                <w:color w:val="FFFFFF"/>
                <w:sz w:val="18"/>
              </w:rPr>
              <w:t>Measure</w:t>
            </w:r>
          </w:p>
        </w:tc>
        <w:tc>
          <w:tcPr>
            <w:tcW w:type="dxa" w:w="2232"/>
            <w:vAlign w:val="center"/>
            <w:tcMar>
              <w:top w:w="90" w:type="dxa"/>
              <w:start w:w="90" w:type="dxa"/>
              <w:bottom w:w="90" w:type="dxa"/>
              <w:end w:w="90" w:type="dxa"/>
            </w:tcMar>
            <w:shd w:fill="17365D"/>
          </w:tcPr>
          <w:p>
            <w:pPr>
              <w:spacing w:after="0" w:line="240" w:lineRule="auto"/>
            </w:pPr>
            <w:r>
              <w:rPr>
                <w:rFonts w:ascii="Arial" w:hAnsi="Arial"/>
                <w:b/>
                <w:color w:val="FFFFFF"/>
                <w:sz w:val="18"/>
              </w:rPr>
              <w:t>Original</w:t>
            </w:r>
          </w:p>
        </w:tc>
        <w:tc>
          <w:tcPr>
            <w:tcW w:type="dxa" w:w="2232"/>
            <w:vAlign w:val="center"/>
            <w:tcMar>
              <w:top w:w="90" w:type="dxa"/>
              <w:start w:w="90" w:type="dxa"/>
              <w:bottom w:w="90" w:type="dxa"/>
              <w:end w:w="90" w:type="dxa"/>
            </w:tcMar>
            <w:shd w:fill="17365D"/>
          </w:tcPr>
          <w:p>
            <w:pPr>
              <w:spacing w:after="0" w:line="240" w:lineRule="auto"/>
            </w:pPr>
            <w:r>
              <w:rPr>
                <w:rFonts w:ascii="Arial" w:hAnsi="Arial"/>
                <w:b/>
                <w:color w:val="FFFFFF"/>
                <w:sz w:val="18"/>
              </w:rPr>
              <w:t>Sector-aware</w:t>
            </w:r>
          </w:p>
        </w:tc>
      </w:tr>
      <w:tr>
        <w:tc>
          <w:tcPr>
            <w:tcW w:type="dxa" w:w="4680"/>
            <w:vAlign w:val="center"/>
            <w:tcMar>
              <w:top w:w="90" w:type="dxa"/>
              <w:start w:w="90" w:type="dxa"/>
              <w:bottom w:w="90" w:type="dxa"/>
              <w:end w:w="90" w:type="dxa"/>
            </w:tcMar>
          </w:tcPr>
          <w:p>
            <w:pPr>
              <w:spacing w:after="0" w:line="240" w:lineRule="auto"/>
            </w:pPr>
            <w:r>
              <w:rPr>
                <w:rFonts w:ascii="Arial" w:hAnsi="Arial"/>
                <w:sz w:val="18"/>
              </w:rPr>
              <w:t>Score versus USD return</w:t>
            </w:r>
          </w:p>
        </w:tc>
        <w:tc>
          <w:tcPr>
            <w:tcW w:type="dxa" w:w="2232"/>
            <w:vAlign w:val="center"/>
            <w:tcMar>
              <w:top w:w="90" w:type="dxa"/>
              <w:start w:w="90" w:type="dxa"/>
              <w:bottom w:w="90" w:type="dxa"/>
              <w:end w:w="90" w:type="dxa"/>
            </w:tcMar>
          </w:tcPr>
          <w:p>
            <w:pPr>
              <w:spacing w:after="0" w:line="240" w:lineRule="auto"/>
            </w:pPr>
            <w:r>
              <w:rPr>
                <w:rFonts w:ascii="Arial" w:hAnsi="Arial"/>
                <w:sz w:val="18"/>
              </w:rPr>
              <w:t>0.48</w:t>
            </w:r>
          </w:p>
        </w:tc>
        <w:tc>
          <w:tcPr>
            <w:tcW w:type="dxa" w:w="2232"/>
            <w:vAlign w:val="center"/>
            <w:tcMar>
              <w:top w:w="90" w:type="dxa"/>
              <w:start w:w="90" w:type="dxa"/>
              <w:bottom w:w="90" w:type="dxa"/>
              <w:end w:w="90" w:type="dxa"/>
            </w:tcMar>
          </w:tcPr>
          <w:p>
            <w:pPr>
              <w:spacing w:after="0" w:line="240" w:lineRule="auto"/>
            </w:pPr>
            <w:r>
              <w:rPr>
                <w:rFonts w:ascii="Arial" w:hAnsi="Arial"/>
                <w:sz w:val="18"/>
              </w:rPr>
              <w:t>0.57</w:t>
            </w:r>
          </w:p>
        </w:tc>
      </w:tr>
      <w:tr>
        <w:tc>
          <w:tcPr>
            <w:tcW w:type="dxa" w:w="4680"/>
            <w:vAlign w:val="center"/>
            <w:tcMar>
              <w:top w:w="90" w:type="dxa"/>
              <w:start w:w="90" w:type="dxa"/>
              <w:bottom w:w="90" w:type="dxa"/>
              <w:end w:w="90" w:type="dxa"/>
            </w:tcMar>
            <w:shd w:fill="EAF3F8"/>
          </w:tcPr>
          <w:p>
            <w:pPr>
              <w:spacing w:after="0" w:line="240" w:lineRule="auto"/>
            </w:pPr>
            <w:r>
              <w:rPr>
                <w:rFonts w:ascii="Arial" w:hAnsi="Arial"/>
                <w:sz w:val="18"/>
              </w:rPr>
              <w:t>Score versus benchmark-relative return</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0.35</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0.44</w:t>
            </w:r>
          </w:p>
        </w:tc>
      </w:tr>
      <w:tr>
        <w:tc>
          <w:tcPr>
            <w:tcW w:type="dxa" w:w="4680"/>
            <w:vAlign w:val="center"/>
            <w:tcMar>
              <w:top w:w="90" w:type="dxa"/>
              <w:start w:w="90" w:type="dxa"/>
              <w:bottom w:w="90" w:type="dxa"/>
              <w:end w:w="90" w:type="dxa"/>
            </w:tcMar>
          </w:tcPr>
          <w:p>
            <w:pPr>
              <w:spacing w:after="0" w:line="240" w:lineRule="auto"/>
            </w:pPr>
            <w:r>
              <w:rPr>
                <w:rFonts w:ascii="Arial" w:hAnsi="Arial"/>
                <w:sz w:val="18"/>
              </w:rPr>
              <w:t>Top-minus-bottom USD return spread</w:t>
            </w:r>
          </w:p>
        </w:tc>
        <w:tc>
          <w:tcPr>
            <w:tcW w:type="dxa" w:w="2232"/>
            <w:vAlign w:val="center"/>
            <w:tcMar>
              <w:top w:w="90" w:type="dxa"/>
              <w:start w:w="90" w:type="dxa"/>
              <w:bottom w:w="90" w:type="dxa"/>
              <w:end w:w="90" w:type="dxa"/>
            </w:tcMar>
          </w:tcPr>
          <w:p>
            <w:pPr>
              <w:spacing w:after="0" w:line="240" w:lineRule="auto"/>
            </w:pPr>
            <w:r>
              <w:rPr>
                <w:rFonts w:ascii="Arial" w:hAnsi="Arial"/>
                <w:sz w:val="18"/>
              </w:rPr>
              <w:t>17.4%</w:t>
            </w:r>
          </w:p>
        </w:tc>
        <w:tc>
          <w:tcPr>
            <w:tcW w:type="dxa" w:w="2232"/>
            <w:vAlign w:val="center"/>
            <w:tcMar>
              <w:top w:w="90" w:type="dxa"/>
              <w:start w:w="90" w:type="dxa"/>
              <w:bottom w:w="90" w:type="dxa"/>
              <w:end w:w="90" w:type="dxa"/>
            </w:tcMar>
          </w:tcPr>
          <w:p>
            <w:pPr>
              <w:spacing w:after="0" w:line="240" w:lineRule="auto"/>
            </w:pPr>
            <w:r>
              <w:rPr>
                <w:rFonts w:ascii="Arial" w:hAnsi="Arial"/>
                <w:sz w:val="18"/>
              </w:rPr>
              <w:t>16.7%</w:t>
            </w:r>
          </w:p>
        </w:tc>
      </w:tr>
      <w:tr>
        <w:tc>
          <w:tcPr>
            <w:tcW w:type="dxa" w:w="4680"/>
            <w:vAlign w:val="center"/>
            <w:tcMar>
              <w:top w:w="90" w:type="dxa"/>
              <w:start w:w="90" w:type="dxa"/>
              <w:bottom w:w="90" w:type="dxa"/>
              <w:end w:w="90" w:type="dxa"/>
            </w:tcMar>
            <w:shd w:fill="EAF3F8"/>
          </w:tcPr>
          <w:p>
            <w:pPr>
              <w:spacing w:after="0" w:line="240" w:lineRule="auto"/>
            </w:pPr>
            <w:r>
              <w:rPr>
                <w:rFonts w:ascii="Arial" w:hAnsi="Arial"/>
                <w:sz w:val="18"/>
              </w:rPr>
              <w:t>Directional hit rate</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77.8%</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88.9%</w:t>
            </w:r>
          </w:p>
        </w:tc>
      </w:tr>
    </w:tbl>
    <w:p>
      <w:r>
        <w:t>Across the same 18-company universe, sector-aware scorecards improved score/return rank correlation from 0.48 to 0.57, benchmark-relative rank correlation from 0.35 to 0.44, and directional hit rate from 77.8% to 88.9%. The top-minus-bottom spread remained positive but declined slightly from 17.4 to 16.7 percentage points. This is a useful diagnostic, not independent proof: the sector design was developed after reviewing the first result.</w:t>
      </w:r>
    </w:p>
    <w:p>
      <w:pPr>
        <w:pStyle w:val="Heading1"/>
      </w:pPr>
      <w:r>
        <w:t>Test design</w:t>
      </w:r>
    </w:p>
    <w:p>
      <w:r>
        <w:t>Each company was scored using only prices and financial-statement periods dated on or before 20 March 2026. The model selected the scorecard automatically, applied its fixed metric anchors and weights, calculated data confidence, and then applied the prescribed risk gates. No WInS eligibility decision was made.</w:t>
      </w:r>
    </w:p>
    <w:p>
      <w:r>
        <w:t>Subsequent performance was measured from the first available adjusted close on or after the scoring date through 18 September 2026. Adjusted prices include the effect of splits and distributions. Local returns were converted to US dollars using the model's market-specific FX series, and each company was also compared with its local market benchmark.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vAlign w:val="center"/>
            <w:tcMar>
              <w:top w:w="90" w:type="dxa"/>
              <w:start w:w="90" w:type="dxa"/>
              <w:bottom w:w="90" w:type="dxa"/>
              <w:end w:w="90" w:type="dxa"/>
            </w:tcMar>
            <w:shd w:fill="17365D"/>
          </w:tcPr>
          <w:p>
            <w:pPr>
              <w:spacing w:after="0" w:line="240" w:lineRule="auto"/>
            </w:pPr>
            <w:r>
              <w:rPr>
                <w:rFonts w:ascii="Arial" w:hAnsi="Arial"/>
                <w:b/>
                <w:color w:val="FFFFFF"/>
                <w:sz w:val="18"/>
              </w:rPr>
              <w:t>Element</w:t>
            </w:r>
          </w:p>
        </w:tc>
        <w:tc>
          <w:tcPr>
            <w:tcW w:type="dxa" w:w="7848"/>
            <w:vAlign w:val="center"/>
            <w:tcMar>
              <w:top w:w="90" w:type="dxa"/>
              <w:start w:w="90" w:type="dxa"/>
              <w:bottom w:w="90" w:type="dxa"/>
              <w:end w:w="90" w:type="dxa"/>
            </w:tcMar>
            <w:shd w:fill="17365D"/>
          </w:tcPr>
          <w:p>
            <w:pPr>
              <w:spacing w:after="0" w:line="240" w:lineRule="auto"/>
            </w:pPr>
            <w:r>
              <w:rPr>
                <w:rFonts w:ascii="Arial" w:hAnsi="Arial"/>
                <w:b/>
                <w:color w:val="FFFFFF"/>
                <w:sz w:val="18"/>
              </w:rPr>
              <w:t>Method</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Universe</w:t>
            </w:r>
          </w:p>
        </w:tc>
        <w:tc>
          <w:tcPr>
            <w:tcW w:type="dxa" w:w="7848"/>
            <w:vAlign w:val="center"/>
            <w:tcMar>
              <w:top w:w="90" w:type="dxa"/>
              <w:start w:w="90" w:type="dxa"/>
              <w:bottom w:w="90" w:type="dxa"/>
              <w:end w:w="90" w:type="dxa"/>
            </w:tcMar>
          </w:tcPr>
          <w:p>
            <w:pPr>
              <w:spacing w:after="0" w:line="240" w:lineRule="auto"/>
            </w:pPr>
            <w:r>
              <w:rPr>
                <w:rFonts w:ascii="Arial" w:hAnsi="Arial"/>
                <w:sz w:val="18"/>
              </w:rPr>
              <w:t>18 companies across US, Japan, United Kingdom, India, and Taiwan</w:t>
            </w:r>
          </w:p>
        </w:tc>
      </w:tr>
      <w:tr>
        <w:tc>
          <w:tcPr>
            <w:tcW w:type="dxa" w:w="1944"/>
            <w:vAlign w:val="center"/>
            <w:tcMar>
              <w:top w:w="90" w:type="dxa"/>
              <w:start w:w="90" w:type="dxa"/>
              <w:bottom w:w="90" w:type="dxa"/>
              <w:end w:w="90" w:type="dxa"/>
            </w:tcMar>
            <w:shd w:fill="EAF3F8"/>
          </w:tcPr>
          <w:p>
            <w:pPr>
              <w:spacing w:after="0" w:line="240" w:lineRule="auto"/>
            </w:pPr>
            <w:r>
              <w:rPr>
                <w:rFonts w:ascii="Arial" w:hAnsi="Arial"/>
                <w:sz w:val="18"/>
              </w:rPr>
              <w:t>Scorecards</w:t>
            </w:r>
          </w:p>
        </w:tc>
        <w:tc>
          <w:tcPr>
            <w:tcW w:type="dxa" w:w="7848"/>
            <w:vAlign w:val="center"/>
            <w:tcMar>
              <w:top w:w="90" w:type="dxa"/>
              <w:start w:w="90" w:type="dxa"/>
              <w:bottom w:w="90" w:type="dxa"/>
              <w:end w:w="90" w:type="dxa"/>
            </w:tcMar>
            <w:shd w:fill="EAF3F8"/>
          </w:tcPr>
          <w:p>
            <w:pPr>
              <w:spacing w:after="0" w:line="240" w:lineRule="auto"/>
            </w:pPr>
            <w:r>
              <w:rPr>
                <w:rFonts w:ascii="Arial" w:hAnsi="Arial"/>
                <w:sz w:val="18"/>
              </w:rPr>
              <w:t>General company, bank, and insurer scorecards selected automatically</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Decision labels</w:t>
            </w:r>
          </w:p>
        </w:tc>
        <w:tc>
          <w:tcPr>
            <w:tcW w:type="dxa" w:w="7848"/>
            <w:vAlign w:val="center"/>
            <w:tcMar>
              <w:top w:w="90" w:type="dxa"/>
              <w:start w:w="90" w:type="dxa"/>
              <w:bottom w:w="90" w:type="dxa"/>
              <w:end w:w="90" w:type="dxa"/>
            </w:tcMar>
          </w:tcPr>
          <w:p>
            <w:pPr>
              <w:spacing w:after="0" w:line="240" w:lineRule="auto"/>
            </w:pPr>
            <w:r>
              <w:rPr>
                <w:rFonts w:ascii="Arial" w:hAnsi="Arial"/>
                <w:sz w:val="18"/>
              </w:rPr>
              <w:t>Buy Candidate 75 or above; Watch 60 to 74.99; Reject below 60; Insufficient Data below 70% confidence or stale inputs</w:t>
            </w:r>
          </w:p>
        </w:tc>
      </w:tr>
      <w:tr>
        <w:tc>
          <w:tcPr>
            <w:tcW w:type="dxa" w:w="1944"/>
            <w:vAlign w:val="center"/>
            <w:tcMar>
              <w:top w:w="90" w:type="dxa"/>
              <w:start w:w="90" w:type="dxa"/>
              <w:bottom w:w="90" w:type="dxa"/>
              <w:end w:w="90" w:type="dxa"/>
            </w:tcMar>
            <w:shd w:fill="EAF3F8"/>
          </w:tcPr>
          <w:p>
            <w:pPr>
              <w:spacing w:after="0" w:line="240" w:lineRule="auto"/>
            </w:pPr>
            <w:r>
              <w:rPr>
                <w:rFonts w:ascii="Arial" w:hAnsi="Arial"/>
                <w:sz w:val="18"/>
              </w:rPr>
              <w:t>Return basis</w:t>
            </w:r>
          </w:p>
        </w:tc>
        <w:tc>
          <w:tcPr>
            <w:tcW w:type="dxa" w:w="7848"/>
            <w:vAlign w:val="center"/>
            <w:tcMar>
              <w:top w:w="90" w:type="dxa"/>
              <w:start w:w="90" w:type="dxa"/>
              <w:bottom w:w="90" w:type="dxa"/>
              <w:end w:w="90" w:type="dxa"/>
            </w:tcMar>
            <w:shd w:fill="EAF3F8"/>
          </w:tcPr>
          <w:p>
            <w:pPr>
              <w:spacing w:after="0" w:line="240" w:lineRule="auto"/>
            </w:pPr>
            <w:r>
              <w:rPr>
                <w:rFonts w:ascii="Arial" w:hAnsi="Arial"/>
                <w:sz w:val="18"/>
              </w:rPr>
              <w:t>Adjusted-close return in local currency and US dollars; excess return versus local benchmark</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Data source</w:t>
            </w:r>
          </w:p>
        </w:tc>
        <w:tc>
          <w:tcPr>
            <w:tcW w:type="dxa" w:w="7848"/>
            <w:vAlign w:val="center"/>
            <w:tcMar>
              <w:top w:w="90" w:type="dxa"/>
              <w:start w:w="90" w:type="dxa"/>
              <w:bottom w:w="90" w:type="dxa"/>
              <w:end w:w="90" w:type="dxa"/>
            </w:tcMar>
          </w:tcPr>
          <w:p>
            <w:pPr>
              <w:spacing w:after="0" w:line="240" w:lineRule="auto"/>
            </w:pPr>
            <w:r>
              <w:rPr>
                <w:rFonts w:ascii="Arial" w:hAnsi="Arial"/>
                <w:sz w:val="18"/>
              </w:rPr>
              <w:t>Yahoo Finance prices, corporate actions, FX rates, benchmark prices, and available statements</w:t>
            </w:r>
          </w:p>
        </w:tc>
      </w:tr>
    </w:tbl>
    <w:p>
      <w:pPr>
        <w:pStyle w:val="Heading1"/>
      </w:pPr>
      <w:r>
        <w:t>Sector-aware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90" w:type="dxa"/>
              <w:start w:w="90" w:type="dxa"/>
              <w:bottom w:w="90" w:type="dxa"/>
              <w:end w:w="90" w:type="dxa"/>
            </w:tcMar>
            <w:shd w:fill="17365D"/>
          </w:tcPr>
          <w:p>
            <w:pPr>
              <w:spacing w:after="0" w:line="240" w:lineRule="auto"/>
            </w:pPr>
            <w:r>
              <w:rPr>
                <w:rFonts w:ascii="Arial" w:hAnsi="Arial"/>
                <w:b/>
                <w:color w:val="FFFFFF"/>
                <w:sz w:val="18"/>
              </w:rPr>
              <w:t>Team mandate</w:t>
            </w:r>
          </w:p>
        </w:tc>
        <w:tc>
          <w:tcPr>
            <w:tcW w:type="dxa" w:w="7128"/>
            <w:vAlign w:val="center"/>
            <w:tcMar>
              <w:top w:w="90" w:type="dxa"/>
              <w:start w:w="90" w:type="dxa"/>
              <w:bottom w:w="90" w:type="dxa"/>
              <w:end w:w="90" w:type="dxa"/>
            </w:tcMar>
            <w:shd w:fill="17365D"/>
          </w:tcPr>
          <w:p>
            <w:pPr>
              <w:spacing w:after="0" w:line="240" w:lineRule="auto"/>
            </w:pPr>
            <w:r>
              <w:rPr>
                <w:rFonts w:ascii="Arial" w:hAnsi="Arial"/>
                <w:b/>
                <w:color w:val="FFFFFF"/>
                <w:sz w:val="18"/>
              </w:rPr>
              <w:t>Specialized emphasis</w:t>
            </w:r>
          </w:p>
        </w:tc>
      </w:tr>
      <w:tr>
        <w:tc>
          <w:tcPr>
            <w:tcW w:type="dxa" w:w="2592"/>
            <w:vAlign w:val="center"/>
            <w:tcMar>
              <w:top w:w="90" w:type="dxa"/>
              <w:start w:w="90" w:type="dxa"/>
              <w:bottom w:w="90" w:type="dxa"/>
              <w:end w:w="90" w:type="dxa"/>
            </w:tcMar>
          </w:tcPr>
          <w:p>
            <w:pPr>
              <w:spacing w:after="0" w:line="240" w:lineRule="auto"/>
            </w:pPr>
            <w:r>
              <w:rPr>
                <w:rFonts w:ascii="Arial" w:hAnsi="Arial"/>
                <w:sz w:val="18"/>
              </w:rPr>
              <w:t>Technology</w:t>
            </w:r>
          </w:p>
        </w:tc>
        <w:tc>
          <w:tcPr>
            <w:tcW w:type="dxa" w:w="7128"/>
            <w:vAlign w:val="center"/>
            <w:tcMar>
              <w:top w:w="90" w:type="dxa"/>
              <w:start w:w="90" w:type="dxa"/>
              <w:bottom w:w="90" w:type="dxa"/>
              <w:end w:w="90" w:type="dxa"/>
            </w:tcMar>
          </w:tcPr>
          <w:p>
            <w:pPr>
              <w:spacing w:after="0" w:line="240" w:lineRule="auto"/>
            </w:pPr>
            <w:r>
              <w:rPr>
                <w:rFonts w:ascii="Arial" w:hAnsi="Arial"/>
                <w:sz w:val="18"/>
              </w:rPr>
              <w:t>Gross margin, R&amp;D intensity, scalable FCF, growth-adjusted valuation</w:t>
            </w:r>
          </w:p>
        </w:tc>
      </w:tr>
      <w:tr>
        <w:tc>
          <w:tcPr>
            <w:tcW w:type="dxa" w:w="2592"/>
            <w:vAlign w:val="center"/>
            <w:tcMar>
              <w:top w:w="90" w:type="dxa"/>
              <w:start w:w="90" w:type="dxa"/>
              <w:bottom w:w="90" w:type="dxa"/>
              <w:end w:w="90" w:type="dxa"/>
            </w:tcMar>
            <w:shd w:fill="EAF3F8"/>
          </w:tcPr>
          <w:p>
            <w:pPr>
              <w:spacing w:after="0" w:line="240" w:lineRule="auto"/>
            </w:pPr>
            <w:r>
              <w:rPr>
                <w:rFonts w:ascii="Arial" w:hAnsi="Arial"/>
                <w:sz w:val="18"/>
              </w:rPr>
              <w:t>Healthcare</w:t>
            </w:r>
          </w:p>
        </w:tc>
        <w:tc>
          <w:tcPr>
            <w:tcW w:type="dxa" w:w="7128"/>
            <w:vAlign w:val="center"/>
            <w:tcMar>
              <w:top w:w="90" w:type="dxa"/>
              <w:start w:w="90" w:type="dxa"/>
              <w:bottom w:w="90" w:type="dxa"/>
              <w:end w:w="90" w:type="dxa"/>
            </w:tcMar>
            <w:shd w:fill="EAF3F8"/>
          </w:tcPr>
          <w:p>
            <w:pPr>
              <w:spacing w:after="0" w:line="240" w:lineRule="auto"/>
            </w:pPr>
            <w:r>
              <w:rPr>
                <w:rFonts w:ascii="Arial" w:hAnsi="Arial"/>
                <w:sz w:val="18"/>
              </w:rPr>
              <w:t>Product economics, innovation spending, growth, resilience; separate pre-profit biotech rules</w:t>
            </w:r>
          </w:p>
        </w:tc>
      </w:tr>
      <w:tr>
        <w:tc>
          <w:tcPr>
            <w:tcW w:type="dxa" w:w="2592"/>
            <w:vAlign w:val="center"/>
            <w:tcMar>
              <w:top w:w="90" w:type="dxa"/>
              <w:start w:w="90" w:type="dxa"/>
              <w:bottom w:w="90" w:type="dxa"/>
              <w:end w:w="90" w:type="dxa"/>
            </w:tcMar>
          </w:tcPr>
          <w:p>
            <w:pPr>
              <w:spacing w:after="0" w:line="240" w:lineRule="auto"/>
            </w:pPr>
            <w:r>
              <w:rPr>
                <w:rFonts w:ascii="Arial" w:hAnsi="Arial"/>
                <w:sz w:val="18"/>
              </w:rPr>
              <w:t>Financial services</w:t>
            </w:r>
          </w:p>
        </w:tc>
        <w:tc>
          <w:tcPr>
            <w:tcW w:type="dxa" w:w="7128"/>
            <w:vAlign w:val="center"/>
            <w:tcMar>
              <w:top w:w="90" w:type="dxa"/>
              <w:start w:w="90" w:type="dxa"/>
              <w:bottom w:w="90" w:type="dxa"/>
              <w:end w:w="90" w:type="dxa"/>
            </w:tcMar>
          </w:tcPr>
          <w:p>
            <w:pPr>
              <w:spacing w:after="0" w:line="240" w:lineRule="auto"/>
            </w:pPr>
            <w:r>
              <w:rPr>
                <w:rFonts w:ascii="Arial" w:hAnsi="Arial"/>
                <w:sz w:val="18"/>
              </w:rPr>
              <w:t>Separate bank, insurer, and financial-platform scorecards</w:t>
            </w:r>
          </w:p>
        </w:tc>
      </w:tr>
      <w:tr>
        <w:tc>
          <w:tcPr>
            <w:tcW w:type="dxa" w:w="2592"/>
            <w:vAlign w:val="center"/>
            <w:tcMar>
              <w:top w:w="90" w:type="dxa"/>
              <w:start w:w="90" w:type="dxa"/>
              <w:bottom w:w="90" w:type="dxa"/>
              <w:end w:w="90" w:type="dxa"/>
            </w:tcMar>
            <w:shd w:fill="EAF3F8"/>
          </w:tcPr>
          <w:p>
            <w:pPr>
              <w:spacing w:after="0" w:line="240" w:lineRule="auto"/>
            </w:pPr>
            <w:r>
              <w:rPr>
                <w:rFonts w:ascii="Arial" w:hAnsi="Arial"/>
                <w:sz w:val="18"/>
              </w:rPr>
              <w:t>Industrials</w:t>
            </w:r>
          </w:p>
        </w:tc>
        <w:tc>
          <w:tcPr>
            <w:tcW w:type="dxa" w:w="7128"/>
            <w:vAlign w:val="center"/>
            <w:tcMar>
              <w:top w:w="90" w:type="dxa"/>
              <w:start w:w="90" w:type="dxa"/>
              <w:bottom w:w="90" w:type="dxa"/>
              <w:end w:w="90" w:type="dxa"/>
            </w:tcMar>
            <w:shd w:fill="EAF3F8"/>
          </w:tcPr>
          <w:p>
            <w:pPr>
              <w:spacing w:after="0" w:line="240" w:lineRule="auto"/>
            </w:pPr>
            <w:r>
              <w:rPr>
                <w:rFonts w:ascii="Arial" w:hAnsi="Arial"/>
                <w:sz w:val="18"/>
              </w:rPr>
              <w:t>ROIC, asset turnover, capex intensity, inventory cycle, leverage</w:t>
            </w:r>
          </w:p>
        </w:tc>
      </w:tr>
      <w:tr>
        <w:tc>
          <w:tcPr>
            <w:tcW w:type="dxa" w:w="2592"/>
            <w:vAlign w:val="center"/>
            <w:tcMar>
              <w:top w:w="90" w:type="dxa"/>
              <w:start w:w="90" w:type="dxa"/>
              <w:bottom w:w="90" w:type="dxa"/>
              <w:end w:w="90" w:type="dxa"/>
            </w:tcMar>
          </w:tcPr>
          <w:p>
            <w:pPr>
              <w:spacing w:after="0" w:line="240" w:lineRule="auto"/>
            </w:pPr>
            <w:r>
              <w:rPr>
                <w:rFonts w:ascii="Arial" w:hAnsi="Arial"/>
                <w:sz w:val="18"/>
              </w:rPr>
              <w:t>Consumer/media</w:t>
            </w:r>
          </w:p>
        </w:tc>
        <w:tc>
          <w:tcPr>
            <w:tcW w:type="dxa" w:w="7128"/>
            <w:vAlign w:val="center"/>
            <w:tcMar>
              <w:top w:w="90" w:type="dxa"/>
              <w:start w:w="90" w:type="dxa"/>
              <w:bottom w:w="90" w:type="dxa"/>
              <w:end w:w="90" w:type="dxa"/>
            </w:tcMar>
          </w:tcPr>
          <w:p>
            <w:pPr>
              <w:spacing w:after="0" w:line="240" w:lineRule="auto"/>
            </w:pPr>
            <w:r>
              <w:rPr>
                <w:rFonts w:ascii="Arial" w:hAnsi="Arial"/>
                <w:sz w:val="18"/>
              </w:rPr>
              <w:t>Brand economics, margins, inventory turnover, cash conversion</w:t>
            </w:r>
          </w:p>
        </w:tc>
      </w:tr>
      <w:tr>
        <w:tc>
          <w:tcPr>
            <w:tcW w:type="dxa" w:w="2592"/>
            <w:vAlign w:val="center"/>
            <w:tcMar>
              <w:top w:w="90" w:type="dxa"/>
              <w:start w:w="90" w:type="dxa"/>
              <w:bottom w:w="90" w:type="dxa"/>
              <w:end w:w="90" w:type="dxa"/>
            </w:tcMar>
            <w:shd w:fill="EAF3F8"/>
          </w:tcPr>
          <w:p>
            <w:pPr>
              <w:spacing w:after="0" w:line="240" w:lineRule="auto"/>
            </w:pPr>
            <w:r>
              <w:rPr>
                <w:rFonts w:ascii="Arial" w:hAnsi="Arial"/>
                <w:sz w:val="18"/>
              </w:rPr>
              <w:t>Energy/materials/utilities</w:t>
            </w:r>
          </w:p>
        </w:tc>
        <w:tc>
          <w:tcPr>
            <w:tcW w:type="dxa" w:w="7128"/>
            <w:vAlign w:val="center"/>
            <w:tcMar>
              <w:top w:w="90" w:type="dxa"/>
              <w:start w:w="90" w:type="dxa"/>
              <w:bottom w:w="90" w:type="dxa"/>
              <w:end w:w="90" w:type="dxa"/>
            </w:tcMar>
            <w:shd w:fill="EAF3F8"/>
          </w:tcPr>
          <w:p>
            <w:pPr>
              <w:spacing w:after="0" w:line="240" w:lineRule="auto"/>
            </w:pPr>
            <w:r>
              <w:rPr>
                <w:rFonts w:ascii="Arial" w:hAnsi="Arial"/>
                <w:sz w:val="18"/>
              </w:rPr>
              <w:t>Cash returns, balance sheet, capital discipline, cyclicality</w:t>
            </w:r>
          </w:p>
        </w:tc>
      </w:tr>
    </w:tbl>
    <w:p>
      <w:pPr>
        <w:pStyle w:val="Heading1"/>
      </w:pPr>
      <w:r>
        <w:t>News sentiment layer</w:t>
      </w:r>
    </w:p>
    <w:p>
      <w:r>
        <w:t>Every scorecard now reserves 5% for news: weighted 30-day sentiment (3%), the 30-day versus 90-day trend (1%), and quality-adjusted coverage (1%). Yahoo Finance headlines and summaries are deduplicated and must mention the company or ticker. Each item is then weighted by company relevance, publisher quality, and a 14-day recency half-life. A finance-aware deterministic lexicon handles earnings beats and misses, guidance changes, approvals, investigations, recalls, downgrades, dilution and other market events, including basic negation and intensifiers.</w:t>
      </w:r>
    </w:p>
    <w:p>
      <w:r>
        <w:t>Publication timestamps are a hard point-in-time boundary. Yahoo Finance did not expose March 2026 headlines during this September 2026 retrospective run, so all historical news factors stayed neutral and reduced confidence by five percentage points. Therefore, the all-sector backtest improvement above comes from sector specialization—not from sentiment. Current-run news ingestion was separately validated, but historical sentiment requires an archived news dataset before it can be backtested honestly.</w:t>
      </w:r>
    </w:p>
    <w:p>
      <w:pPr>
        <w:pStyle w:val="Heading1"/>
      </w:pPr>
      <w:r>
        <w:t>Company results</w:t>
      </w:r>
    </w:p>
    <w:p>
      <w:r>
        <w:t>Results are ordered from highest to lowest model score. Insufficient Data observations are shown but excluded from correlation, quartile, and verdict-group performance calculations.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181"/>
            <w:vAlign w:val="center"/>
            <w:tcMar>
              <w:top w:w="90" w:type="dxa"/>
              <w:start w:w="90" w:type="dxa"/>
              <w:bottom w:w="90" w:type="dxa"/>
              <w:end w:w="90" w:type="dxa"/>
            </w:tcMar>
            <w:shd w:fill="17365D"/>
          </w:tcPr>
          <w:p>
            <w:pPr>
              <w:spacing w:after="0" w:line="240" w:lineRule="auto"/>
            </w:pPr>
            <w:r>
              <w:rPr>
                <w:rFonts w:ascii="Arial" w:hAnsi="Arial"/>
                <w:b/>
                <w:color w:val="FFFFFF"/>
                <w:sz w:val="16"/>
              </w:rPr>
              <w:t>Ticker</w:t>
            </w:r>
          </w:p>
        </w:tc>
        <w:tc>
          <w:tcPr>
            <w:tcW w:type="dxa" w:w="792"/>
            <w:vAlign w:val="center"/>
            <w:tcMar>
              <w:top w:w="90" w:type="dxa"/>
              <w:start w:w="90" w:type="dxa"/>
              <w:bottom w:w="90" w:type="dxa"/>
              <w:end w:w="90" w:type="dxa"/>
            </w:tcMar>
            <w:shd w:fill="17365D"/>
          </w:tcPr>
          <w:p>
            <w:pPr>
              <w:spacing w:after="0" w:line="240" w:lineRule="auto"/>
            </w:pPr>
            <w:r>
              <w:rPr>
                <w:rFonts w:ascii="Arial" w:hAnsi="Arial"/>
                <w:b/>
                <w:color w:val="FFFFFF"/>
                <w:sz w:val="16"/>
              </w:rPr>
              <w:t>Market</w:t>
            </w:r>
          </w:p>
        </w:tc>
        <w:tc>
          <w:tcPr>
            <w:tcW w:type="dxa" w:w="835"/>
            <w:vAlign w:val="center"/>
            <w:tcMar>
              <w:top w:w="90" w:type="dxa"/>
              <w:start w:w="90" w:type="dxa"/>
              <w:bottom w:w="90" w:type="dxa"/>
              <w:end w:w="90" w:type="dxa"/>
            </w:tcMar>
            <w:shd w:fill="17365D"/>
          </w:tcPr>
          <w:p>
            <w:pPr>
              <w:spacing w:after="0" w:line="240" w:lineRule="auto"/>
            </w:pPr>
            <w:r>
              <w:rPr>
                <w:rFonts w:ascii="Arial" w:hAnsi="Arial"/>
                <w:b/>
                <w:color w:val="FFFFFF"/>
                <w:sz w:val="16"/>
              </w:rPr>
              <w:t>Score</w:t>
            </w:r>
          </w:p>
        </w:tc>
        <w:tc>
          <w:tcPr>
            <w:tcW w:type="dxa" w:w="1555"/>
            <w:vAlign w:val="center"/>
            <w:tcMar>
              <w:top w:w="90" w:type="dxa"/>
              <w:start w:w="90" w:type="dxa"/>
              <w:bottom w:w="90" w:type="dxa"/>
              <w:end w:w="90" w:type="dxa"/>
            </w:tcMar>
            <w:shd w:fill="17365D"/>
          </w:tcPr>
          <w:p>
            <w:pPr>
              <w:spacing w:after="0" w:line="240" w:lineRule="auto"/>
            </w:pPr>
            <w:r>
              <w:rPr>
                <w:rFonts w:ascii="Arial" w:hAnsi="Arial"/>
                <w:b/>
                <w:color w:val="FFFFFF"/>
                <w:sz w:val="16"/>
              </w:rPr>
              <w:t>Verdict</w:t>
            </w:r>
          </w:p>
        </w:tc>
        <w:tc>
          <w:tcPr>
            <w:tcW w:type="dxa" w:w="1080"/>
            <w:vAlign w:val="center"/>
            <w:tcMar>
              <w:top w:w="90" w:type="dxa"/>
              <w:start w:w="90" w:type="dxa"/>
              <w:bottom w:w="90" w:type="dxa"/>
              <w:end w:w="90" w:type="dxa"/>
            </w:tcMar>
            <w:shd w:fill="17365D"/>
          </w:tcPr>
          <w:p>
            <w:pPr>
              <w:spacing w:after="0" w:line="240" w:lineRule="auto"/>
            </w:pPr>
            <w:r>
              <w:rPr>
                <w:rFonts w:ascii="Arial" w:hAnsi="Arial"/>
                <w:b/>
                <w:color w:val="FFFFFF"/>
                <w:sz w:val="16"/>
              </w:rPr>
              <w:t>Confidence</w:t>
            </w:r>
          </w:p>
        </w:tc>
        <w:tc>
          <w:tcPr>
            <w:tcW w:type="dxa" w:w="1181"/>
            <w:vAlign w:val="center"/>
            <w:tcMar>
              <w:top w:w="90" w:type="dxa"/>
              <w:start w:w="90" w:type="dxa"/>
              <w:bottom w:w="90" w:type="dxa"/>
              <w:end w:w="90" w:type="dxa"/>
            </w:tcMar>
            <w:shd w:fill="17365D"/>
          </w:tcPr>
          <w:p>
            <w:pPr>
              <w:spacing w:after="0" w:line="240" w:lineRule="auto"/>
            </w:pPr>
            <w:r>
              <w:rPr>
                <w:rFonts w:ascii="Arial" w:hAnsi="Arial"/>
                <w:b/>
                <w:color w:val="FFFFFF"/>
                <w:sz w:val="16"/>
              </w:rPr>
              <w:t>USD return</w:t>
            </w:r>
          </w:p>
        </w:tc>
        <w:tc>
          <w:tcPr>
            <w:tcW w:type="dxa" w:w="1181"/>
            <w:vAlign w:val="center"/>
            <w:tcMar>
              <w:top w:w="90" w:type="dxa"/>
              <w:start w:w="90" w:type="dxa"/>
              <w:bottom w:w="90" w:type="dxa"/>
              <w:end w:w="90" w:type="dxa"/>
            </w:tcMar>
            <w:shd w:fill="17365D"/>
          </w:tcPr>
          <w:p>
            <w:pPr>
              <w:spacing w:after="0" w:line="240" w:lineRule="auto"/>
            </w:pPr>
            <w:r>
              <w:rPr>
                <w:rFonts w:ascii="Arial" w:hAnsi="Arial"/>
                <w:b/>
                <w:color w:val="FFFFFF"/>
                <w:sz w:val="16"/>
              </w:rPr>
              <w:t>USD excess</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2330.TW</w:t>
            </w:r>
          </w:p>
        </w:tc>
        <w:tc>
          <w:tcPr>
            <w:tcW w:type="dxa" w:w="792"/>
            <w:vAlign w:val="center"/>
            <w:tcMar>
              <w:top w:w="90" w:type="dxa"/>
              <w:start w:w="90" w:type="dxa"/>
              <w:bottom w:w="90" w:type="dxa"/>
              <w:end w:w="90" w:type="dxa"/>
            </w:tcMar>
          </w:tcPr>
          <w:p>
            <w:pPr>
              <w:spacing w:after="0" w:line="240" w:lineRule="auto"/>
            </w:pPr>
            <w:r>
              <w:rPr>
                <w:rFonts w:ascii="Arial" w:hAnsi="Arial"/>
                <w:sz w:val="16"/>
              </w:rPr>
              <w:t>TW</w:t>
            </w:r>
          </w:p>
        </w:tc>
        <w:tc>
          <w:tcPr>
            <w:tcW w:type="dxa" w:w="835"/>
            <w:vAlign w:val="center"/>
            <w:tcMar>
              <w:top w:w="90" w:type="dxa"/>
              <w:start w:w="90" w:type="dxa"/>
              <w:bottom w:w="90" w:type="dxa"/>
              <w:end w:w="90" w:type="dxa"/>
            </w:tcMar>
          </w:tcPr>
          <w:p>
            <w:pPr>
              <w:spacing w:after="0" w:line="240" w:lineRule="auto"/>
            </w:pPr>
            <w:r>
              <w:rPr>
                <w:rFonts w:ascii="Arial" w:hAnsi="Arial"/>
                <w:sz w:val="16"/>
              </w:rPr>
              <w:t>81.0</w:t>
            </w:r>
          </w:p>
        </w:tc>
        <w:tc>
          <w:tcPr>
            <w:tcW w:type="dxa" w:w="1555"/>
            <w:vAlign w:val="center"/>
            <w:tcMar>
              <w:top w:w="90" w:type="dxa"/>
              <w:start w:w="90" w:type="dxa"/>
              <w:bottom w:w="90" w:type="dxa"/>
              <w:end w:w="90" w:type="dxa"/>
            </w:tcMar>
          </w:tcPr>
          <w:p>
            <w:pPr>
              <w:spacing w:after="0" w:line="240" w:lineRule="auto"/>
            </w:pPr>
            <w:r>
              <w:rPr>
                <w:rFonts w:ascii="Arial" w:hAnsi="Arial"/>
                <w:sz w:val="16"/>
              </w:rPr>
              <w:t>Buy</w:t>
            </w:r>
          </w:p>
        </w:tc>
        <w:tc>
          <w:tcPr>
            <w:tcW w:type="dxa" w:w="1080"/>
            <w:vAlign w:val="center"/>
            <w:tcMar>
              <w:top w:w="90" w:type="dxa"/>
              <w:start w:w="90" w:type="dxa"/>
              <w:bottom w:w="90" w:type="dxa"/>
              <w:end w:w="90" w:type="dxa"/>
            </w:tcMar>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tcPr>
          <w:p>
            <w:pPr>
              <w:spacing w:after="0" w:line="240" w:lineRule="auto"/>
            </w:pPr>
            <w:r>
              <w:rPr>
                <w:rFonts w:ascii="Arial" w:hAnsi="Arial"/>
                <w:sz w:val="16"/>
              </w:rPr>
              <w:t>34.2%</w:t>
            </w:r>
          </w:p>
        </w:tc>
        <w:tc>
          <w:tcPr>
            <w:tcW w:type="dxa" w:w="1181"/>
            <w:vAlign w:val="center"/>
            <w:tcMar>
              <w:top w:w="90" w:type="dxa"/>
              <w:start w:w="90" w:type="dxa"/>
              <w:bottom w:w="90" w:type="dxa"/>
              <w:end w:w="90" w:type="dxa"/>
            </w:tcMar>
          </w:tcPr>
          <w:p>
            <w:pPr>
              <w:spacing w:after="0" w:line="240" w:lineRule="auto"/>
            </w:pPr>
            <w:r>
              <w:rPr>
                <w:rFonts w:ascii="Arial" w:hAnsi="Arial"/>
                <w:sz w:val="16"/>
              </w:rPr>
              <w:t>-6.2%</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TCS.NS</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IN</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69.8</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Watch</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78%</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-12.8%</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-10.9%</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MSFT</w:t>
            </w:r>
          </w:p>
        </w:tc>
        <w:tc>
          <w:tcPr>
            <w:tcW w:type="dxa" w:w="792"/>
            <w:vAlign w:val="center"/>
            <w:tcMar>
              <w:top w:w="90" w:type="dxa"/>
              <w:start w:w="90" w:type="dxa"/>
              <w:bottom w:w="90" w:type="dxa"/>
              <w:end w:w="90" w:type="dxa"/>
            </w:tcMar>
          </w:tcPr>
          <w:p>
            <w:pPr>
              <w:spacing w:after="0" w:line="240" w:lineRule="auto"/>
            </w:pPr>
            <w:r>
              <w:rPr>
                <w:rFonts w:ascii="Arial" w:hAnsi="Arial"/>
                <w:sz w:val="16"/>
              </w:rPr>
              <w:t>US</w:t>
            </w:r>
          </w:p>
        </w:tc>
        <w:tc>
          <w:tcPr>
            <w:tcW w:type="dxa" w:w="835"/>
            <w:vAlign w:val="center"/>
            <w:tcMar>
              <w:top w:w="90" w:type="dxa"/>
              <w:start w:w="90" w:type="dxa"/>
              <w:bottom w:w="90" w:type="dxa"/>
              <w:end w:w="90" w:type="dxa"/>
            </w:tcMar>
          </w:tcPr>
          <w:p>
            <w:pPr>
              <w:spacing w:after="0" w:line="240" w:lineRule="auto"/>
            </w:pPr>
            <w:r>
              <w:rPr>
                <w:rFonts w:ascii="Arial" w:hAnsi="Arial"/>
                <w:sz w:val="16"/>
              </w:rPr>
              <w:t>67.0</w:t>
            </w:r>
          </w:p>
        </w:tc>
        <w:tc>
          <w:tcPr>
            <w:tcW w:type="dxa" w:w="1555"/>
            <w:vAlign w:val="center"/>
            <w:tcMar>
              <w:top w:w="90" w:type="dxa"/>
              <w:start w:w="90" w:type="dxa"/>
              <w:bottom w:w="90" w:type="dxa"/>
              <w:end w:w="90" w:type="dxa"/>
            </w:tcMar>
          </w:tcPr>
          <w:p>
            <w:pPr>
              <w:spacing w:after="0" w:line="240" w:lineRule="auto"/>
            </w:pPr>
            <w:r>
              <w:rPr>
                <w:rFonts w:ascii="Arial" w:hAnsi="Arial"/>
                <w:sz w:val="16"/>
              </w:rPr>
              <w:t>Watch</w:t>
            </w:r>
          </w:p>
        </w:tc>
        <w:tc>
          <w:tcPr>
            <w:tcW w:type="dxa" w:w="1080"/>
            <w:vAlign w:val="center"/>
            <w:tcMar>
              <w:top w:w="90" w:type="dxa"/>
              <w:start w:w="90" w:type="dxa"/>
              <w:bottom w:w="90" w:type="dxa"/>
              <w:end w:w="90" w:type="dxa"/>
            </w:tcMar>
          </w:tcPr>
          <w:p>
            <w:pPr>
              <w:spacing w:after="0" w:line="240" w:lineRule="auto"/>
            </w:pPr>
            <w:r>
              <w:rPr>
                <w:rFonts w:ascii="Arial" w:hAnsi="Arial"/>
                <w:sz w:val="16"/>
              </w:rPr>
              <w:t>78%</w:t>
            </w:r>
          </w:p>
        </w:tc>
        <w:tc>
          <w:tcPr>
            <w:tcW w:type="dxa" w:w="1181"/>
            <w:vAlign w:val="center"/>
            <w:tcMar>
              <w:top w:w="90" w:type="dxa"/>
              <w:start w:w="90" w:type="dxa"/>
              <w:bottom w:w="90" w:type="dxa"/>
              <w:end w:w="90" w:type="dxa"/>
            </w:tcMar>
          </w:tcPr>
          <w:p>
            <w:pPr>
              <w:spacing w:after="0" w:line="240" w:lineRule="auto"/>
            </w:pPr>
            <w:r>
              <w:rPr>
                <w:rFonts w:ascii="Arial" w:hAnsi="Arial"/>
                <w:sz w:val="16"/>
              </w:rPr>
              <w:t>29.8%</w:t>
            </w:r>
          </w:p>
        </w:tc>
        <w:tc>
          <w:tcPr>
            <w:tcW w:type="dxa" w:w="1181"/>
            <w:vAlign w:val="center"/>
            <w:tcMar>
              <w:top w:w="90" w:type="dxa"/>
              <w:start w:w="90" w:type="dxa"/>
              <w:bottom w:w="90" w:type="dxa"/>
              <w:end w:w="90" w:type="dxa"/>
            </w:tcMar>
          </w:tcPr>
          <w:p>
            <w:pPr>
              <w:spacing w:after="0" w:line="240" w:lineRule="auto"/>
            </w:pPr>
            <w:r>
              <w:rPr>
                <w:rFonts w:ascii="Arial" w:hAnsi="Arial"/>
                <w:sz w:val="16"/>
              </w:rPr>
              <w:t>12.2%</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2881.TW</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TW</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66.2</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Insufficient Data</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65%</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75.4%</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34.9%</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6758.T</w:t>
            </w:r>
          </w:p>
        </w:tc>
        <w:tc>
          <w:tcPr>
            <w:tcW w:type="dxa" w:w="792"/>
            <w:vAlign w:val="center"/>
            <w:tcMar>
              <w:top w:w="90" w:type="dxa"/>
              <w:start w:w="90" w:type="dxa"/>
              <w:bottom w:w="90" w:type="dxa"/>
              <w:end w:w="90" w:type="dxa"/>
            </w:tcMar>
          </w:tcPr>
          <w:p>
            <w:pPr>
              <w:spacing w:after="0" w:line="240" w:lineRule="auto"/>
            </w:pPr>
            <w:r>
              <w:rPr>
                <w:rFonts w:ascii="Arial" w:hAnsi="Arial"/>
                <w:sz w:val="16"/>
              </w:rPr>
              <w:t>JP</w:t>
            </w:r>
          </w:p>
        </w:tc>
        <w:tc>
          <w:tcPr>
            <w:tcW w:type="dxa" w:w="835"/>
            <w:vAlign w:val="center"/>
            <w:tcMar>
              <w:top w:w="90" w:type="dxa"/>
              <w:start w:w="90" w:type="dxa"/>
              <w:bottom w:w="90" w:type="dxa"/>
              <w:end w:w="90" w:type="dxa"/>
            </w:tcMar>
          </w:tcPr>
          <w:p>
            <w:pPr>
              <w:spacing w:after="0" w:line="240" w:lineRule="auto"/>
            </w:pPr>
            <w:r>
              <w:rPr>
                <w:rFonts w:ascii="Arial" w:hAnsi="Arial"/>
                <w:sz w:val="16"/>
              </w:rPr>
              <w:t>65.8</w:t>
            </w:r>
          </w:p>
        </w:tc>
        <w:tc>
          <w:tcPr>
            <w:tcW w:type="dxa" w:w="1555"/>
            <w:vAlign w:val="center"/>
            <w:tcMar>
              <w:top w:w="90" w:type="dxa"/>
              <w:start w:w="90" w:type="dxa"/>
              <w:bottom w:w="90" w:type="dxa"/>
              <w:end w:w="90" w:type="dxa"/>
            </w:tcMar>
          </w:tcPr>
          <w:p>
            <w:pPr>
              <w:spacing w:after="0" w:line="240" w:lineRule="auto"/>
            </w:pPr>
            <w:r>
              <w:rPr>
                <w:rFonts w:ascii="Arial" w:hAnsi="Arial"/>
                <w:sz w:val="16"/>
              </w:rPr>
              <w:t>Watch</w:t>
            </w:r>
          </w:p>
        </w:tc>
        <w:tc>
          <w:tcPr>
            <w:tcW w:type="dxa" w:w="1080"/>
            <w:vAlign w:val="center"/>
            <w:tcMar>
              <w:top w:w="90" w:type="dxa"/>
              <w:start w:w="90" w:type="dxa"/>
              <w:bottom w:w="90" w:type="dxa"/>
              <w:end w:w="90" w:type="dxa"/>
            </w:tcMar>
          </w:tcPr>
          <w:p>
            <w:pPr>
              <w:spacing w:after="0" w:line="240" w:lineRule="auto"/>
            </w:pPr>
            <w:r>
              <w:rPr>
                <w:rFonts w:ascii="Arial" w:hAnsi="Arial"/>
                <w:sz w:val="16"/>
              </w:rPr>
              <w:t>78%</w:t>
            </w:r>
          </w:p>
        </w:tc>
        <w:tc>
          <w:tcPr>
            <w:tcW w:type="dxa" w:w="1181"/>
            <w:vAlign w:val="center"/>
            <w:tcMar>
              <w:top w:w="90" w:type="dxa"/>
              <w:start w:w="90" w:type="dxa"/>
              <w:bottom w:w="90" w:type="dxa"/>
              <w:end w:w="90" w:type="dxa"/>
            </w:tcMar>
          </w:tcPr>
          <w:p>
            <w:pPr>
              <w:spacing w:after="0" w:line="240" w:lineRule="auto"/>
            </w:pPr>
            <w:r>
              <w:rPr>
                <w:rFonts w:ascii="Arial" w:hAnsi="Arial"/>
                <w:sz w:val="16"/>
              </w:rPr>
              <w:t>18.6%</w:t>
            </w:r>
          </w:p>
        </w:tc>
        <w:tc>
          <w:tcPr>
            <w:tcW w:type="dxa" w:w="1181"/>
            <w:vAlign w:val="center"/>
            <w:tcMar>
              <w:top w:w="90" w:type="dxa"/>
              <w:start w:w="90" w:type="dxa"/>
              <w:bottom w:w="90" w:type="dxa"/>
              <w:end w:w="90" w:type="dxa"/>
            </w:tcMar>
          </w:tcPr>
          <w:p>
            <w:pPr>
              <w:spacing w:after="0" w:line="240" w:lineRule="auto"/>
            </w:pPr>
            <w:r>
              <w:rPr>
                <w:rFonts w:ascii="Arial" w:hAnsi="Arial"/>
                <w:sz w:val="16"/>
              </w:rPr>
              <w:t>-10.1%</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PGR</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US</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65.7</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Insufficient Data</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65%</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3.7%</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-13.9%</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LLY</w:t>
            </w:r>
          </w:p>
        </w:tc>
        <w:tc>
          <w:tcPr>
            <w:tcW w:type="dxa" w:w="792"/>
            <w:vAlign w:val="center"/>
            <w:tcMar>
              <w:top w:w="90" w:type="dxa"/>
              <w:start w:w="90" w:type="dxa"/>
              <w:bottom w:w="90" w:type="dxa"/>
              <w:end w:w="90" w:type="dxa"/>
            </w:tcMar>
          </w:tcPr>
          <w:p>
            <w:pPr>
              <w:spacing w:after="0" w:line="240" w:lineRule="auto"/>
            </w:pPr>
            <w:r>
              <w:rPr>
                <w:rFonts w:ascii="Arial" w:hAnsi="Arial"/>
                <w:sz w:val="16"/>
              </w:rPr>
              <w:t>US</w:t>
            </w:r>
          </w:p>
        </w:tc>
        <w:tc>
          <w:tcPr>
            <w:tcW w:type="dxa" w:w="835"/>
            <w:vAlign w:val="center"/>
            <w:tcMar>
              <w:top w:w="90" w:type="dxa"/>
              <w:start w:w="90" w:type="dxa"/>
              <w:bottom w:w="90" w:type="dxa"/>
              <w:end w:w="90" w:type="dxa"/>
            </w:tcMar>
          </w:tcPr>
          <w:p>
            <w:pPr>
              <w:spacing w:after="0" w:line="240" w:lineRule="auto"/>
            </w:pPr>
            <w:r>
              <w:rPr>
                <w:rFonts w:ascii="Arial" w:hAnsi="Arial"/>
                <w:sz w:val="16"/>
              </w:rPr>
              <w:t>64.1</w:t>
            </w:r>
          </w:p>
        </w:tc>
        <w:tc>
          <w:tcPr>
            <w:tcW w:type="dxa" w:w="1555"/>
            <w:vAlign w:val="center"/>
            <w:tcMar>
              <w:top w:w="90" w:type="dxa"/>
              <w:start w:w="90" w:type="dxa"/>
              <w:bottom w:w="90" w:type="dxa"/>
              <w:end w:w="90" w:type="dxa"/>
            </w:tcMar>
          </w:tcPr>
          <w:p>
            <w:pPr>
              <w:spacing w:after="0" w:line="240" w:lineRule="auto"/>
            </w:pPr>
            <w:r>
              <w:rPr>
                <w:rFonts w:ascii="Arial" w:hAnsi="Arial"/>
                <w:sz w:val="16"/>
              </w:rPr>
              <w:t>Watch</w:t>
            </w:r>
          </w:p>
        </w:tc>
        <w:tc>
          <w:tcPr>
            <w:tcW w:type="dxa" w:w="1080"/>
            <w:vAlign w:val="center"/>
            <w:tcMar>
              <w:top w:w="90" w:type="dxa"/>
              <w:start w:w="90" w:type="dxa"/>
              <w:bottom w:w="90" w:type="dxa"/>
              <w:end w:w="90" w:type="dxa"/>
            </w:tcMar>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tcPr>
          <w:p>
            <w:pPr>
              <w:spacing w:after="0" w:line="240" w:lineRule="auto"/>
            </w:pPr>
            <w:r>
              <w:rPr>
                <w:rFonts w:ascii="Arial" w:hAnsi="Arial"/>
                <w:sz w:val="16"/>
              </w:rPr>
              <w:t>27.6%</w:t>
            </w:r>
          </w:p>
        </w:tc>
        <w:tc>
          <w:tcPr>
            <w:tcW w:type="dxa" w:w="1181"/>
            <w:vAlign w:val="center"/>
            <w:tcMar>
              <w:top w:w="90" w:type="dxa"/>
              <w:start w:w="90" w:type="dxa"/>
              <w:bottom w:w="90" w:type="dxa"/>
              <w:end w:w="90" w:type="dxa"/>
            </w:tcMar>
          </w:tcPr>
          <w:p>
            <w:pPr>
              <w:spacing w:after="0" w:line="240" w:lineRule="auto"/>
            </w:pPr>
            <w:r>
              <w:rPr>
                <w:rFonts w:ascii="Arial" w:hAnsi="Arial"/>
                <w:sz w:val="16"/>
              </w:rPr>
              <w:t>10.0%</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JPM</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US</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63.0</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Insufficient Data</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72%</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23.2%</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5.6%</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2317.TW</w:t>
            </w:r>
          </w:p>
        </w:tc>
        <w:tc>
          <w:tcPr>
            <w:tcW w:type="dxa" w:w="792"/>
            <w:vAlign w:val="center"/>
            <w:tcMar>
              <w:top w:w="90" w:type="dxa"/>
              <w:start w:w="90" w:type="dxa"/>
              <w:bottom w:w="90" w:type="dxa"/>
              <w:end w:w="90" w:type="dxa"/>
            </w:tcMar>
          </w:tcPr>
          <w:p>
            <w:pPr>
              <w:spacing w:after="0" w:line="240" w:lineRule="auto"/>
            </w:pPr>
            <w:r>
              <w:rPr>
                <w:rFonts w:ascii="Arial" w:hAnsi="Arial"/>
                <w:sz w:val="16"/>
              </w:rPr>
              <w:t>TW</w:t>
            </w:r>
          </w:p>
        </w:tc>
        <w:tc>
          <w:tcPr>
            <w:tcW w:type="dxa" w:w="835"/>
            <w:vAlign w:val="center"/>
            <w:tcMar>
              <w:top w:w="90" w:type="dxa"/>
              <w:start w:w="90" w:type="dxa"/>
              <w:bottom w:w="90" w:type="dxa"/>
              <w:end w:w="90" w:type="dxa"/>
            </w:tcMar>
          </w:tcPr>
          <w:p>
            <w:pPr>
              <w:spacing w:after="0" w:line="240" w:lineRule="auto"/>
            </w:pPr>
            <w:r>
              <w:rPr>
                <w:rFonts w:ascii="Arial" w:hAnsi="Arial"/>
                <w:sz w:val="16"/>
              </w:rPr>
              <w:t>59.8</w:t>
            </w:r>
          </w:p>
        </w:tc>
        <w:tc>
          <w:tcPr>
            <w:tcW w:type="dxa" w:w="1555"/>
            <w:vAlign w:val="center"/>
            <w:tcMar>
              <w:top w:w="90" w:type="dxa"/>
              <w:start w:w="90" w:type="dxa"/>
              <w:bottom w:w="90" w:type="dxa"/>
              <w:end w:w="90" w:type="dxa"/>
            </w:tcMar>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tcPr>
          <w:p>
            <w:pPr>
              <w:spacing w:after="0" w:line="240" w:lineRule="auto"/>
            </w:pPr>
            <w:r>
              <w:rPr>
                <w:rFonts w:ascii="Arial" w:hAnsi="Arial"/>
                <w:sz w:val="16"/>
              </w:rPr>
              <w:t>26.9%</w:t>
            </w:r>
          </w:p>
        </w:tc>
        <w:tc>
          <w:tcPr>
            <w:tcW w:type="dxa" w:w="1181"/>
            <w:vAlign w:val="center"/>
            <w:tcMar>
              <w:top w:w="90" w:type="dxa"/>
              <w:start w:w="90" w:type="dxa"/>
              <w:bottom w:w="90" w:type="dxa"/>
              <w:end w:w="90" w:type="dxa"/>
            </w:tcMar>
          </w:tcPr>
          <w:p>
            <w:pPr>
              <w:spacing w:after="0" w:line="240" w:lineRule="auto"/>
            </w:pPr>
            <w:r>
              <w:rPr>
                <w:rFonts w:ascii="Arial" w:hAnsi="Arial"/>
                <w:sz w:val="16"/>
              </w:rPr>
              <w:t>-13.6%</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CAT</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US</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58.3</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19.3%</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1.7%</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RELIANCE.NS</w:t>
            </w:r>
          </w:p>
        </w:tc>
        <w:tc>
          <w:tcPr>
            <w:tcW w:type="dxa" w:w="792"/>
            <w:vAlign w:val="center"/>
            <w:tcMar>
              <w:top w:w="90" w:type="dxa"/>
              <w:start w:w="90" w:type="dxa"/>
              <w:bottom w:w="90" w:type="dxa"/>
              <w:end w:w="90" w:type="dxa"/>
            </w:tcMar>
          </w:tcPr>
          <w:p>
            <w:pPr>
              <w:spacing w:after="0" w:line="240" w:lineRule="auto"/>
            </w:pPr>
            <w:r>
              <w:rPr>
                <w:rFonts w:ascii="Arial" w:hAnsi="Arial"/>
                <w:sz w:val="16"/>
              </w:rPr>
              <w:t>IN</w:t>
            </w:r>
          </w:p>
        </w:tc>
        <w:tc>
          <w:tcPr>
            <w:tcW w:type="dxa" w:w="835"/>
            <w:vAlign w:val="center"/>
            <w:tcMar>
              <w:top w:w="90" w:type="dxa"/>
              <w:start w:w="90" w:type="dxa"/>
              <w:bottom w:w="90" w:type="dxa"/>
              <w:end w:w="90" w:type="dxa"/>
            </w:tcMar>
          </w:tcPr>
          <w:p>
            <w:pPr>
              <w:spacing w:after="0" w:line="240" w:lineRule="auto"/>
            </w:pPr>
            <w:r>
              <w:rPr>
                <w:rFonts w:ascii="Arial" w:hAnsi="Arial"/>
                <w:sz w:val="16"/>
              </w:rPr>
              <w:t>57.1</w:t>
            </w:r>
          </w:p>
        </w:tc>
        <w:tc>
          <w:tcPr>
            <w:tcW w:type="dxa" w:w="1555"/>
            <w:vAlign w:val="center"/>
            <w:tcMar>
              <w:top w:w="90" w:type="dxa"/>
              <w:start w:w="90" w:type="dxa"/>
              <w:bottom w:w="90" w:type="dxa"/>
              <w:end w:w="90" w:type="dxa"/>
            </w:tcMar>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tcPr>
          <w:p>
            <w:pPr>
              <w:spacing w:after="0" w:line="240" w:lineRule="auto"/>
            </w:pPr>
            <w:r>
              <w:rPr>
                <w:rFonts w:ascii="Arial" w:hAnsi="Arial"/>
                <w:sz w:val="16"/>
              </w:rPr>
              <w:t>78%</w:t>
            </w:r>
          </w:p>
        </w:tc>
        <w:tc>
          <w:tcPr>
            <w:tcW w:type="dxa" w:w="1181"/>
            <w:vAlign w:val="center"/>
            <w:tcMar>
              <w:top w:w="90" w:type="dxa"/>
              <w:start w:w="90" w:type="dxa"/>
              <w:bottom w:w="90" w:type="dxa"/>
              <w:end w:w="90" w:type="dxa"/>
            </w:tcMar>
          </w:tcPr>
          <w:p>
            <w:pPr>
              <w:spacing w:after="0" w:line="240" w:lineRule="auto"/>
            </w:pPr>
            <w:r>
              <w:rPr>
                <w:rFonts w:ascii="Arial" w:hAnsi="Arial"/>
                <w:sz w:val="16"/>
              </w:rPr>
              <w:t>-15.4%</w:t>
            </w:r>
          </w:p>
        </w:tc>
        <w:tc>
          <w:tcPr>
            <w:tcW w:type="dxa" w:w="1181"/>
            <w:vAlign w:val="center"/>
            <w:tcMar>
              <w:top w:w="90" w:type="dxa"/>
              <w:start w:w="90" w:type="dxa"/>
              <w:bottom w:w="90" w:type="dxa"/>
              <w:end w:w="90" w:type="dxa"/>
            </w:tcMar>
          </w:tcPr>
          <w:p>
            <w:pPr>
              <w:spacing w:after="0" w:line="240" w:lineRule="auto"/>
            </w:pPr>
            <w:r>
              <w:rPr>
                <w:rFonts w:ascii="Arial" w:hAnsi="Arial"/>
                <w:sz w:val="16"/>
              </w:rPr>
              <w:t>-13.5%</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AZN.L</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GB</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55.1</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-10.5%</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-17.4%</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XOM</w:t>
            </w:r>
          </w:p>
        </w:tc>
        <w:tc>
          <w:tcPr>
            <w:tcW w:type="dxa" w:w="792"/>
            <w:vAlign w:val="center"/>
            <w:tcMar>
              <w:top w:w="90" w:type="dxa"/>
              <w:start w:w="90" w:type="dxa"/>
              <w:bottom w:w="90" w:type="dxa"/>
              <w:end w:w="90" w:type="dxa"/>
            </w:tcMar>
          </w:tcPr>
          <w:p>
            <w:pPr>
              <w:spacing w:after="0" w:line="240" w:lineRule="auto"/>
            </w:pPr>
            <w:r>
              <w:rPr>
                <w:rFonts w:ascii="Arial" w:hAnsi="Arial"/>
                <w:sz w:val="16"/>
              </w:rPr>
              <w:t>US</w:t>
            </w:r>
          </w:p>
        </w:tc>
        <w:tc>
          <w:tcPr>
            <w:tcW w:type="dxa" w:w="835"/>
            <w:vAlign w:val="center"/>
            <w:tcMar>
              <w:top w:w="90" w:type="dxa"/>
              <w:start w:w="90" w:type="dxa"/>
              <w:bottom w:w="90" w:type="dxa"/>
              <w:end w:w="90" w:type="dxa"/>
            </w:tcMar>
          </w:tcPr>
          <w:p>
            <w:pPr>
              <w:spacing w:after="0" w:line="240" w:lineRule="auto"/>
            </w:pPr>
            <w:r>
              <w:rPr>
                <w:rFonts w:ascii="Arial" w:hAnsi="Arial"/>
                <w:sz w:val="16"/>
              </w:rPr>
              <w:t>53.6</w:t>
            </w:r>
          </w:p>
        </w:tc>
        <w:tc>
          <w:tcPr>
            <w:tcW w:type="dxa" w:w="1555"/>
            <w:vAlign w:val="center"/>
            <w:tcMar>
              <w:top w:w="90" w:type="dxa"/>
              <w:start w:w="90" w:type="dxa"/>
              <w:bottom w:w="90" w:type="dxa"/>
              <w:end w:w="90" w:type="dxa"/>
            </w:tcMar>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tcPr>
          <w:p>
            <w:pPr>
              <w:spacing w:after="0" w:line="240" w:lineRule="auto"/>
            </w:pPr>
            <w:r>
              <w:rPr>
                <w:rFonts w:ascii="Arial" w:hAnsi="Arial"/>
                <w:sz w:val="16"/>
              </w:rPr>
              <w:t>3.8%</w:t>
            </w:r>
          </w:p>
        </w:tc>
        <w:tc>
          <w:tcPr>
            <w:tcW w:type="dxa" w:w="1181"/>
            <w:vAlign w:val="center"/>
            <w:tcMar>
              <w:top w:w="90" w:type="dxa"/>
              <w:start w:w="90" w:type="dxa"/>
              <w:bottom w:w="90" w:type="dxa"/>
              <w:end w:w="90" w:type="dxa"/>
            </w:tcMar>
          </w:tcPr>
          <w:p>
            <w:pPr>
              <w:spacing w:after="0" w:line="240" w:lineRule="auto"/>
            </w:pPr>
            <w:r>
              <w:rPr>
                <w:rFonts w:ascii="Arial" w:hAnsi="Arial"/>
                <w:sz w:val="16"/>
              </w:rPr>
              <w:t>-13.8%</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HDFCBANK.NS</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IN</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50.0</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Insufficient Data</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52%</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-7.5%</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-5.6%</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8306.T</w:t>
            </w:r>
          </w:p>
        </w:tc>
        <w:tc>
          <w:tcPr>
            <w:tcW w:type="dxa" w:w="792"/>
            <w:vAlign w:val="center"/>
            <w:tcMar>
              <w:top w:w="90" w:type="dxa"/>
              <w:start w:w="90" w:type="dxa"/>
              <w:bottom w:w="90" w:type="dxa"/>
              <w:end w:w="90" w:type="dxa"/>
            </w:tcMar>
          </w:tcPr>
          <w:p>
            <w:pPr>
              <w:spacing w:after="0" w:line="240" w:lineRule="auto"/>
            </w:pPr>
            <w:r>
              <w:rPr>
                <w:rFonts w:ascii="Arial" w:hAnsi="Arial"/>
                <w:sz w:val="16"/>
              </w:rPr>
              <w:t>JP</w:t>
            </w:r>
          </w:p>
        </w:tc>
        <w:tc>
          <w:tcPr>
            <w:tcW w:type="dxa" w:w="835"/>
            <w:vAlign w:val="center"/>
            <w:tcMar>
              <w:top w:w="90" w:type="dxa"/>
              <w:start w:w="90" w:type="dxa"/>
              <w:bottom w:w="90" w:type="dxa"/>
              <w:end w:w="90" w:type="dxa"/>
            </w:tcMar>
          </w:tcPr>
          <w:p>
            <w:pPr>
              <w:spacing w:after="0" w:line="240" w:lineRule="auto"/>
            </w:pPr>
            <w:r>
              <w:rPr>
                <w:rFonts w:ascii="Arial" w:hAnsi="Arial"/>
                <w:sz w:val="16"/>
              </w:rPr>
              <w:t>49.1</w:t>
            </w:r>
          </w:p>
        </w:tc>
        <w:tc>
          <w:tcPr>
            <w:tcW w:type="dxa" w:w="1555"/>
            <w:vAlign w:val="center"/>
            <w:tcMar>
              <w:top w:w="90" w:type="dxa"/>
              <w:start w:w="90" w:type="dxa"/>
              <w:bottom w:w="90" w:type="dxa"/>
              <w:end w:w="90" w:type="dxa"/>
            </w:tcMar>
          </w:tcPr>
          <w:p>
            <w:pPr>
              <w:spacing w:after="0" w:line="240" w:lineRule="auto"/>
            </w:pPr>
            <w:r>
              <w:rPr>
                <w:rFonts w:ascii="Arial" w:hAnsi="Arial"/>
                <w:sz w:val="16"/>
              </w:rPr>
              <w:t>Insufficient Data</w:t>
            </w:r>
          </w:p>
        </w:tc>
        <w:tc>
          <w:tcPr>
            <w:tcW w:type="dxa" w:w="1080"/>
            <w:vAlign w:val="center"/>
            <w:tcMar>
              <w:top w:w="90" w:type="dxa"/>
              <w:start w:w="90" w:type="dxa"/>
              <w:bottom w:w="90" w:type="dxa"/>
              <w:end w:w="90" w:type="dxa"/>
            </w:tcMar>
          </w:tcPr>
          <w:p>
            <w:pPr>
              <w:spacing w:after="0" w:line="240" w:lineRule="auto"/>
            </w:pPr>
            <w:r>
              <w:rPr>
                <w:rFonts w:ascii="Arial" w:hAnsi="Arial"/>
                <w:sz w:val="16"/>
              </w:rPr>
              <w:t>52%</w:t>
            </w:r>
          </w:p>
        </w:tc>
        <w:tc>
          <w:tcPr>
            <w:tcW w:type="dxa" w:w="1181"/>
            <w:vAlign w:val="center"/>
            <w:tcMar>
              <w:top w:w="90" w:type="dxa"/>
              <w:start w:w="90" w:type="dxa"/>
              <w:bottom w:w="90" w:type="dxa"/>
              <w:end w:w="90" w:type="dxa"/>
            </w:tcMar>
          </w:tcPr>
          <w:p>
            <w:pPr>
              <w:spacing w:after="0" w:line="240" w:lineRule="auto"/>
            </w:pPr>
            <w:r>
              <w:rPr>
                <w:rFonts w:ascii="Arial" w:hAnsi="Arial"/>
                <w:sz w:val="16"/>
              </w:rPr>
              <w:t>46.7%</w:t>
            </w:r>
          </w:p>
        </w:tc>
        <w:tc>
          <w:tcPr>
            <w:tcW w:type="dxa" w:w="1181"/>
            <w:vAlign w:val="center"/>
            <w:tcMar>
              <w:top w:w="90" w:type="dxa"/>
              <w:start w:w="90" w:type="dxa"/>
              <w:bottom w:w="90" w:type="dxa"/>
              <w:end w:w="90" w:type="dxa"/>
            </w:tcMar>
          </w:tcPr>
          <w:p>
            <w:pPr>
              <w:spacing w:after="0" w:line="240" w:lineRule="auto"/>
            </w:pPr>
            <w:r>
              <w:rPr>
                <w:rFonts w:ascii="Arial" w:hAnsi="Arial"/>
                <w:sz w:val="16"/>
              </w:rPr>
              <w:t>18.0%</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7203.T</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JP</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48.5</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78%</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-3.7%</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-32.4%</w:t>
            </w:r>
          </w:p>
        </w:tc>
      </w:tr>
      <w:tr>
        <w:tc>
          <w:tcPr>
            <w:tcW w:type="dxa" w:w="1181"/>
            <w:vAlign w:val="center"/>
            <w:tcMar>
              <w:top w:w="90" w:type="dxa"/>
              <w:start w:w="90" w:type="dxa"/>
              <w:bottom w:w="90" w:type="dxa"/>
              <w:end w:w="90" w:type="dxa"/>
            </w:tcMar>
          </w:tcPr>
          <w:p>
            <w:pPr>
              <w:spacing w:after="0" w:line="240" w:lineRule="auto"/>
            </w:pPr>
            <w:r>
              <w:rPr>
                <w:rFonts w:ascii="Arial" w:hAnsi="Arial"/>
                <w:sz w:val="16"/>
              </w:rPr>
              <w:t>ULVR.L</w:t>
            </w:r>
          </w:p>
        </w:tc>
        <w:tc>
          <w:tcPr>
            <w:tcW w:type="dxa" w:w="792"/>
            <w:vAlign w:val="center"/>
            <w:tcMar>
              <w:top w:w="90" w:type="dxa"/>
              <w:start w:w="90" w:type="dxa"/>
              <w:bottom w:w="90" w:type="dxa"/>
              <w:end w:w="90" w:type="dxa"/>
            </w:tcMar>
          </w:tcPr>
          <w:p>
            <w:pPr>
              <w:spacing w:after="0" w:line="240" w:lineRule="auto"/>
            </w:pPr>
            <w:r>
              <w:rPr>
                <w:rFonts w:ascii="Arial" w:hAnsi="Arial"/>
                <w:sz w:val="16"/>
              </w:rPr>
              <w:t>GB</w:t>
            </w:r>
          </w:p>
        </w:tc>
        <w:tc>
          <w:tcPr>
            <w:tcW w:type="dxa" w:w="835"/>
            <w:vAlign w:val="center"/>
            <w:tcMar>
              <w:top w:w="90" w:type="dxa"/>
              <w:start w:w="90" w:type="dxa"/>
              <w:bottom w:w="90" w:type="dxa"/>
              <w:end w:w="90" w:type="dxa"/>
            </w:tcMar>
          </w:tcPr>
          <w:p>
            <w:pPr>
              <w:spacing w:after="0" w:line="240" w:lineRule="auto"/>
            </w:pPr>
            <w:r>
              <w:rPr>
                <w:rFonts w:ascii="Arial" w:hAnsi="Arial"/>
                <w:sz w:val="16"/>
              </w:rPr>
              <w:t>41.3</w:t>
            </w:r>
          </w:p>
        </w:tc>
        <w:tc>
          <w:tcPr>
            <w:tcW w:type="dxa" w:w="1555"/>
            <w:vAlign w:val="center"/>
            <w:tcMar>
              <w:top w:w="90" w:type="dxa"/>
              <w:start w:w="90" w:type="dxa"/>
              <w:bottom w:w="90" w:type="dxa"/>
              <w:end w:w="90" w:type="dxa"/>
            </w:tcMar>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tcPr>
          <w:p>
            <w:pPr>
              <w:spacing w:after="0" w:line="240" w:lineRule="auto"/>
            </w:pPr>
            <w:r>
              <w:rPr>
                <w:rFonts w:ascii="Arial" w:hAnsi="Arial"/>
                <w:sz w:val="16"/>
              </w:rPr>
              <w:t>0.1%</w:t>
            </w:r>
          </w:p>
        </w:tc>
        <w:tc>
          <w:tcPr>
            <w:tcW w:type="dxa" w:w="1181"/>
            <w:vAlign w:val="center"/>
            <w:tcMar>
              <w:top w:w="90" w:type="dxa"/>
              <w:start w:w="90" w:type="dxa"/>
              <w:bottom w:w="90" w:type="dxa"/>
              <w:end w:w="90" w:type="dxa"/>
            </w:tcMar>
          </w:tcPr>
          <w:p>
            <w:pPr>
              <w:spacing w:after="0" w:line="240" w:lineRule="auto"/>
            </w:pPr>
            <w:r>
              <w:rPr>
                <w:rFonts w:ascii="Arial" w:hAnsi="Arial"/>
                <w:sz w:val="16"/>
              </w:rPr>
              <w:t>-6.9%</w:t>
            </w:r>
          </w:p>
        </w:tc>
      </w:tr>
      <w:tr>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SHEL.L</w:t>
            </w:r>
          </w:p>
        </w:tc>
        <w:tc>
          <w:tcPr>
            <w:tcW w:type="dxa" w:w="792"/>
            <w:vAlign w:val="center"/>
            <w:tcMar>
              <w:top w:w="90" w:type="dxa"/>
              <w:start w:w="90" w:type="dxa"/>
              <w:bottom w:w="90" w:type="dxa"/>
              <w:end w:w="90" w:type="dxa"/>
            </w:tcMar>
            <w:shd w:fill="EAF3F8"/>
          </w:tcPr>
          <w:p>
            <w:pPr>
              <w:spacing w:after="0" w:line="240" w:lineRule="auto"/>
            </w:pPr>
            <w:r>
              <w:rPr>
                <w:rFonts w:ascii="Arial" w:hAnsi="Arial"/>
                <w:sz w:val="16"/>
              </w:rPr>
              <w:t>GB</w:t>
            </w:r>
          </w:p>
        </w:tc>
        <w:tc>
          <w:tcPr>
            <w:tcW w:type="dxa" w:w="835"/>
            <w:vAlign w:val="center"/>
            <w:tcMar>
              <w:top w:w="90" w:type="dxa"/>
              <w:start w:w="90" w:type="dxa"/>
              <w:bottom w:w="90" w:type="dxa"/>
              <w:end w:w="90" w:type="dxa"/>
            </w:tcMar>
            <w:shd w:fill="EAF3F8"/>
          </w:tcPr>
          <w:p>
            <w:pPr>
              <w:spacing w:after="0" w:line="240" w:lineRule="auto"/>
            </w:pPr>
            <w:r>
              <w:rPr>
                <w:rFonts w:ascii="Arial" w:hAnsi="Arial"/>
                <w:sz w:val="16"/>
              </w:rPr>
              <w:t>40.3</w:t>
            </w:r>
          </w:p>
        </w:tc>
        <w:tc>
          <w:tcPr>
            <w:tcW w:type="dxa" w:w="1555"/>
            <w:vAlign w:val="center"/>
            <w:tcMar>
              <w:top w:w="90" w:type="dxa"/>
              <w:start w:w="90" w:type="dxa"/>
              <w:bottom w:w="90" w:type="dxa"/>
              <w:end w:w="90" w:type="dxa"/>
            </w:tcMar>
            <w:shd w:fill="EAF3F8"/>
          </w:tcPr>
          <w:p>
            <w:pPr>
              <w:spacing w:after="0" w:line="240" w:lineRule="auto"/>
            </w:pPr>
            <w:r>
              <w:rPr>
                <w:rFonts w:ascii="Arial" w:hAnsi="Arial"/>
                <w:sz w:val="16"/>
              </w:rPr>
              <w:t>Reject</w:t>
            </w:r>
          </w:p>
        </w:tc>
        <w:tc>
          <w:tcPr>
            <w:tcW w:type="dxa" w:w="1080"/>
            <w:vAlign w:val="center"/>
            <w:tcMar>
              <w:top w:w="90" w:type="dxa"/>
              <w:start w:w="90" w:type="dxa"/>
              <w:bottom w:w="90" w:type="dxa"/>
              <w:end w:w="90" w:type="dxa"/>
            </w:tcMar>
            <w:shd w:fill="EAF3F8"/>
          </w:tcPr>
          <w:p>
            <w:pPr>
              <w:spacing w:after="0" w:line="240" w:lineRule="auto"/>
            </w:pPr>
            <w:r>
              <w:rPr>
                <w:rFonts w:ascii="Arial" w:hAnsi="Arial"/>
                <w:sz w:val="16"/>
              </w:rPr>
              <w:t>100%</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2.6%</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6"/>
              </w:rPr>
              <w:t>-4.4%</w:t>
            </w:r>
          </w:p>
        </w:tc>
      </w:tr>
    </w:tbl>
    <w:p>
      <w:pPr>
        <w:pStyle w:val="Heading1"/>
      </w:pPr>
      <w:r>
        <w:t>Score and return relationship</w:t>
      </w:r>
    </w:p>
    <w:p>
      <w:pPr>
        <w:jc w:val="center"/>
      </w:pPr>
      <w:r>
        <w:drawing>
          <wp:inline xmlns:a="http://schemas.openxmlformats.org/drawingml/2006/main" xmlns:pic="http://schemas.openxmlformats.org/drawingml/2006/picture">
            <wp:extent cx="6172200" cy="3350623"/>
            <wp:docPr id="1" name="Picture 1"/>
            <wp:cNvGraphicFramePr>
              <a:graphicFrameLocks noChangeAspect="1"/>
            </wp:cNvGraphicFramePr>
            <a:graphic>
              <a:graphicData uri="http://schemas.openxmlformats.org/drawingml/2006/picture">
                <pic:pic>
                  <pic:nvPicPr>
                    <pic:cNvPr id="0" name="score_vs_return.png"/>
                    <pic:cNvPicPr/>
                  </pic:nvPicPr>
                  <pic:blipFill>
                    <a:blip r:embed="rId9"/>
                    <a:stretch>
                      <a:fillRect/>
                    </a:stretch>
                  </pic:blipFill>
                  <pic:spPr>
                    <a:xfrm>
                      <a:off x="0" y="0"/>
                      <a:ext cx="6172200" cy="3350623"/>
                    </a:xfrm>
                    <a:prstGeom prst="rect"/>
                  </pic:spPr>
                </pic:pic>
              </a:graphicData>
            </a:graphic>
          </wp:inline>
        </w:drawing>
      </w:r>
    </w:p>
    <w:p>
      <w:pPr>
        <w:jc w:val="center"/>
      </w:pPr>
      <w:r>
        <w:rPr>
          <w:i/>
          <w:sz w:val="18"/>
        </w:rPr>
        <w:t>Figure 1  Model score and subsequent USD return. Gray points lacked sufficient data for an actionable verdict.</w:t>
      </w:r>
    </w:p>
    <w:p>
      <w:r>
        <w:br w:type="page"/>
      </w:r>
    </w:p>
    <w:p>
      <w:pPr>
        <w:pStyle w:val="Heading1"/>
      </w:pPr>
      <w:r>
        <w:t>Performance by verdict</w:t>
      </w:r>
    </w:p>
    <w:p>
      <w:pPr>
        <w:jc w:val="center"/>
      </w:pPr>
      <w:r>
        <w:drawing>
          <wp:inline xmlns:a="http://schemas.openxmlformats.org/drawingml/2006/main" xmlns:pic="http://schemas.openxmlformats.org/drawingml/2006/picture">
            <wp:extent cx="5989320" cy="3244215"/>
            <wp:docPr id="2" name="Picture 2"/>
            <wp:cNvGraphicFramePr>
              <a:graphicFrameLocks noChangeAspect="1"/>
            </wp:cNvGraphicFramePr>
            <a:graphic>
              <a:graphicData uri="http://schemas.openxmlformats.org/drawingml/2006/picture">
                <pic:pic>
                  <pic:nvPicPr>
                    <pic:cNvPr id="0" name="return_by_verdict.png"/>
                    <pic:cNvPicPr/>
                  </pic:nvPicPr>
                  <pic:blipFill>
                    <a:blip r:embed="rId10"/>
                    <a:stretch>
                      <a:fillRect/>
                    </a:stretch>
                  </pic:blipFill>
                  <pic:spPr>
                    <a:xfrm>
                      <a:off x="0" y="0"/>
                      <a:ext cx="5989320" cy="3244215"/>
                    </a:xfrm>
                    <a:prstGeom prst="rect"/>
                  </pic:spPr>
                </pic:pic>
              </a:graphicData>
            </a:graphic>
          </wp:inline>
        </w:drawing>
      </w:r>
    </w:p>
    <w:p>
      <w:pPr>
        <w:jc w:val="center"/>
      </w:pPr>
      <w:r>
        <w:rPr>
          <w:i/>
          <w:sz w:val="18"/>
        </w:rPr>
        <w:t>Figure 2  Average USD return for actionable verdict groups. The Buy Candidate group contains one company and must not be generalized.</w:t>
      </w:r>
    </w:p>
    <w:p>
      <w:pPr>
        <w:pStyle w:val="Heading1"/>
      </w:pPr>
      <w:r>
        <w:t>What the results suggest</w:t>
      </w:r>
    </w:p>
    <w:p>
      <w:r>
        <w:t>The clearest positive result is separation between the higher- and lower-scoring groups. Watch companies averaged materially higher returns than Reject companies, and the top-quartile spread was positive. This supports the scorecard's intended use as a consistent ranking framework.</w:t>
      </w:r>
    </w:p>
    <w:p>
      <w:r>
        <w:t>The model was less successful as a benchmark-relative signal. Taiwan Semiconductor Manufacturing was the only Buy Candidate and gained strongly in US-dollar terms, yet it underperformed the Taiwan benchmark over the same window. TCS also received a relatively high Watch score but declined. Conversely, Caterpillar and Hon Hai produced positive absolute returns despite Reject verdicts. These cases show why the score should organize research rather than replace portfolio judgment.</w:t>
      </w:r>
    </w:p>
    <w:p>
      <w:r>
        <w:t>Specialist coverage remains a material weakness. 5 financial or insurance names were marked Insufficient Data because Yahoo Finance did not provide all required specialist metrics. This is the desired safety behavior, but it also means verified CET1, efficiency, asset-quality, solvency, leverage, and reserve data must be entered before the model can compare those companies confidently.</w:t>
      </w:r>
    </w:p>
    <w:p>
      <w:r>
        <w:br w:type="page"/>
      </w:r>
    </w:p>
    <w:p>
      <w:pPr>
        <w:pStyle w:val="Heading1"/>
      </w:pPr>
      <w:r>
        <w:t>DRAM and TSMC diagnostic</w:t>
      </w:r>
    </w:p>
    <w:p>
      <w:r>
        <w:t>The requested DRAM test uses five listed memory manufacturers—Micron, SK Hynix, Samsung Electronics, Nanya Technology, and Winbond Electronics—rather than the DRAM exchange-traded fund. The ETF was not available at the 20 March 2026 scoring date and the model is intentionally stock-only. Taiwan Semiconductor Manufacturing (TSMC) is included as a foundry comparator, not as a DRAM producer.</w:t>
      </w:r>
    </w:p>
    <w:p>
      <w:r>
        <w:t>The first run applied one long-term semiconductor scorecard to all six companies. It failed at this cyclical turning point: three memory producers were rejected even though they subsequently rallied sharply. The diagnosis was structural, not cosmetic. Trailing earnings and free cash flow remain depressed near a memory-cycle trough, while contract pricing, revenue acceleration, margin inflection, inventories, and shorter-horizon momentum can improve first.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4824"/>
            <w:vAlign w:val="center"/>
            <w:tcMar>
              <w:top w:w="90" w:type="dxa"/>
              <w:start w:w="90" w:type="dxa"/>
              <w:bottom w:w="90" w:type="dxa"/>
              <w:end w:w="90" w:type="dxa"/>
            </w:tcMar>
            <w:shd w:fill="17365D"/>
          </w:tcPr>
          <w:p>
            <w:pPr>
              <w:spacing w:after="0" w:line="240" w:lineRule="auto"/>
            </w:pPr>
            <w:r>
              <w:rPr>
                <w:rFonts w:ascii="Arial" w:hAnsi="Arial"/>
                <w:b/>
                <w:color w:val="FFFFFF"/>
                <w:sz w:val="18"/>
              </w:rPr>
              <w:t>Evaluation measure</w:t>
            </w:r>
          </w:p>
        </w:tc>
        <w:tc>
          <w:tcPr>
            <w:tcW w:type="dxa" w:w="2232"/>
            <w:vAlign w:val="center"/>
            <w:tcMar>
              <w:top w:w="90" w:type="dxa"/>
              <w:start w:w="90" w:type="dxa"/>
              <w:bottom w:w="90" w:type="dxa"/>
              <w:end w:w="90" w:type="dxa"/>
            </w:tcMar>
            <w:shd w:fill="17365D"/>
          </w:tcPr>
          <w:p>
            <w:pPr>
              <w:spacing w:after="0" w:line="240" w:lineRule="auto"/>
            </w:pPr>
            <w:r>
              <w:rPr>
                <w:rFonts w:ascii="Arial" w:hAnsi="Arial"/>
                <w:b/>
                <w:color w:val="FFFFFF"/>
                <w:sz w:val="18"/>
              </w:rPr>
              <w:t>Original</w:t>
            </w:r>
          </w:p>
        </w:tc>
        <w:tc>
          <w:tcPr>
            <w:tcW w:type="dxa" w:w="2232"/>
            <w:vAlign w:val="center"/>
            <w:tcMar>
              <w:top w:w="90" w:type="dxa"/>
              <w:start w:w="90" w:type="dxa"/>
              <w:bottom w:w="90" w:type="dxa"/>
              <w:end w:w="90" w:type="dxa"/>
            </w:tcMar>
            <w:shd w:fill="17365D"/>
          </w:tcPr>
          <w:p>
            <w:pPr>
              <w:spacing w:after="0" w:line="240" w:lineRule="auto"/>
            </w:pPr>
            <w:r>
              <w:rPr>
                <w:rFonts w:ascii="Arial" w:hAnsi="Arial"/>
                <w:b/>
                <w:color w:val="FFFFFF"/>
                <w:sz w:val="18"/>
              </w:rPr>
              <w:t>Cycle-aware</w:t>
            </w:r>
          </w:p>
        </w:tc>
      </w:tr>
      <w:tr>
        <w:tc>
          <w:tcPr>
            <w:tcW w:type="dxa" w:w="4824"/>
            <w:vAlign w:val="center"/>
            <w:tcMar>
              <w:top w:w="90" w:type="dxa"/>
              <w:start w:w="90" w:type="dxa"/>
              <w:bottom w:w="90" w:type="dxa"/>
              <w:end w:w="90" w:type="dxa"/>
            </w:tcMar>
          </w:tcPr>
          <w:p>
            <w:pPr>
              <w:spacing w:after="0" w:line="240" w:lineRule="auto"/>
            </w:pPr>
            <w:r>
              <w:rPr>
                <w:rFonts w:ascii="Arial" w:hAnsi="Arial"/>
                <w:sz w:val="18"/>
              </w:rPr>
              <w:t>Score-versus-return rank correlation</w:t>
            </w:r>
          </w:p>
        </w:tc>
        <w:tc>
          <w:tcPr>
            <w:tcW w:type="dxa" w:w="2232"/>
            <w:vAlign w:val="center"/>
            <w:tcMar>
              <w:top w:w="90" w:type="dxa"/>
              <w:start w:w="90" w:type="dxa"/>
              <w:bottom w:w="90" w:type="dxa"/>
              <w:end w:w="90" w:type="dxa"/>
            </w:tcMar>
          </w:tcPr>
          <w:p>
            <w:pPr>
              <w:spacing w:after="0" w:line="240" w:lineRule="auto"/>
            </w:pPr>
            <w:r>
              <w:rPr>
                <w:rFonts w:ascii="Arial" w:hAnsi="Arial"/>
                <w:sz w:val="18"/>
              </w:rPr>
              <w:t>-0.54</w:t>
            </w:r>
          </w:p>
        </w:tc>
        <w:tc>
          <w:tcPr>
            <w:tcW w:type="dxa" w:w="2232"/>
            <w:vAlign w:val="center"/>
            <w:tcMar>
              <w:top w:w="90" w:type="dxa"/>
              <w:start w:w="90" w:type="dxa"/>
              <w:bottom w:w="90" w:type="dxa"/>
              <w:end w:w="90" w:type="dxa"/>
            </w:tcMar>
          </w:tcPr>
          <w:p>
            <w:pPr>
              <w:spacing w:after="0" w:line="240" w:lineRule="auto"/>
            </w:pPr>
            <w:r>
              <w:rPr>
                <w:rFonts w:ascii="Arial" w:hAnsi="Arial"/>
                <w:sz w:val="18"/>
              </w:rPr>
              <w:t>-0.20</w:t>
            </w:r>
          </w:p>
        </w:tc>
      </w:tr>
      <w:tr>
        <w:tc>
          <w:tcPr>
            <w:tcW w:type="dxa" w:w="4824"/>
            <w:vAlign w:val="center"/>
            <w:tcMar>
              <w:top w:w="90" w:type="dxa"/>
              <w:start w:w="90" w:type="dxa"/>
              <w:bottom w:w="90" w:type="dxa"/>
              <w:end w:w="90" w:type="dxa"/>
            </w:tcMar>
            <w:shd w:fill="EAF3F8"/>
          </w:tcPr>
          <w:p>
            <w:pPr>
              <w:spacing w:after="0" w:line="240" w:lineRule="auto"/>
            </w:pPr>
            <w:r>
              <w:rPr>
                <w:rFonts w:ascii="Arial" w:hAnsi="Arial"/>
                <w:sz w:val="18"/>
              </w:rPr>
              <w:t>Top-minus-bottom USD return spread</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-29.5%</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35.4%</w:t>
            </w:r>
          </w:p>
        </w:tc>
      </w:tr>
      <w:tr>
        <w:tc>
          <w:tcPr>
            <w:tcW w:type="dxa" w:w="4824"/>
            <w:vAlign w:val="center"/>
            <w:tcMar>
              <w:top w:w="90" w:type="dxa"/>
              <w:start w:w="90" w:type="dxa"/>
              <w:bottom w:w="90" w:type="dxa"/>
              <w:end w:w="90" w:type="dxa"/>
            </w:tcMar>
          </w:tcPr>
          <w:p>
            <w:pPr>
              <w:spacing w:after="0" w:line="240" w:lineRule="auto"/>
            </w:pPr>
            <w:r>
              <w:rPr>
                <w:rFonts w:ascii="Arial" w:hAnsi="Arial"/>
                <w:sz w:val="18"/>
              </w:rPr>
              <w:t>Directional hit rate</w:t>
            </w:r>
          </w:p>
        </w:tc>
        <w:tc>
          <w:tcPr>
            <w:tcW w:type="dxa" w:w="2232"/>
            <w:vAlign w:val="center"/>
            <w:tcMar>
              <w:top w:w="90" w:type="dxa"/>
              <w:start w:w="90" w:type="dxa"/>
              <w:bottom w:w="90" w:type="dxa"/>
              <w:end w:w="90" w:type="dxa"/>
            </w:tcMar>
          </w:tcPr>
          <w:p>
            <w:pPr>
              <w:spacing w:after="0" w:line="240" w:lineRule="auto"/>
            </w:pPr>
            <w:r>
              <w:rPr>
                <w:rFonts w:ascii="Arial" w:hAnsi="Arial"/>
                <w:sz w:val="18"/>
              </w:rPr>
              <w:t>20.0%</w:t>
            </w:r>
          </w:p>
        </w:tc>
        <w:tc>
          <w:tcPr>
            <w:tcW w:type="dxa" w:w="2232"/>
            <w:vAlign w:val="center"/>
            <w:tcMar>
              <w:top w:w="90" w:type="dxa"/>
              <w:start w:w="90" w:type="dxa"/>
              <w:bottom w:w="90" w:type="dxa"/>
              <w:end w:w="90" w:type="dxa"/>
            </w:tcMar>
          </w:tcPr>
          <w:p>
            <w:pPr>
              <w:spacing w:after="0" w:line="240" w:lineRule="auto"/>
            </w:pPr>
            <w:r>
              <w:rPr>
                <w:rFonts w:ascii="Arial" w:hAnsi="Arial"/>
                <w:sz w:val="18"/>
              </w:rPr>
              <w:t>50.0%</w:t>
            </w:r>
          </w:p>
        </w:tc>
      </w:tr>
      <w:tr>
        <w:tc>
          <w:tcPr>
            <w:tcW w:type="dxa" w:w="4824"/>
            <w:vAlign w:val="center"/>
            <w:tcMar>
              <w:top w:w="90" w:type="dxa"/>
              <w:start w:w="90" w:type="dxa"/>
              <w:bottom w:w="90" w:type="dxa"/>
              <w:end w:w="90" w:type="dxa"/>
            </w:tcMar>
            <w:shd w:fill="EAF3F8"/>
          </w:tcPr>
          <w:p>
            <w:pPr>
              <w:spacing w:after="0" w:line="240" w:lineRule="auto"/>
            </w:pPr>
            <w:r>
              <w:rPr>
                <w:rFonts w:ascii="Arial" w:hAnsi="Arial"/>
                <w:sz w:val="18"/>
              </w:rPr>
              <w:t>Buy / Watch / Reject</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2 / 1 / 3</w:t>
            </w:r>
          </w:p>
        </w:tc>
        <w:tc>
          <w:tcPr>
            <w:tcW w:type="dxa" w:w="2232"/>
            <w:vAlign w:val="center"/>
            <w:tcMar>
              <w:top w:w="90" w:type="dxa"/>
              <w:start w:w="90" w:type="dxa"/>
              <w:bottom w:w="90" w:type="dxa"/>
              <w:end w:w="90" w:type="dxa"/>
            </w:tcMar>
            <w:shd w:fill="EAF3F8"/>
          </w:tcPr>
          <w:p>
            <w:pPr>
              <w:spacing w:after="0" w:line="240" w:lineRule="auto"/>
            </w:pPr>
            <w:r>
              <w:rPr>
                <w:rFonts w:ascii="Arial" w:hAnsi="Arial"/>
                <w:sz w:val="18"/>
              </w:rPr>
              <w:t>2 / 4 / 0</w:t>
            </w:r>
          </w:p>
        </w:tc>
      </w:tr>
    </w:tbl>
    <w:p>
      <w:r>
        <w:t>The cycle-aware version fixed the most important decision error: it no longer rejected any of the five memory producers, and its memory-only directional hit rate was 100%. It also changed the six-company top-minus-bottom spread from –29.5 to +35.4 percentage points. It did not establish reliable fine ranking: overall Spearman correlation remained –0.20, and correlation inside the five-company memory group was only +0.10.</w:t>
      </w:r>
    </w:p>
    <w:p>
      <w:pPr>
        <w:jc w:val="center"/>
      </w:pPr>
      <w:r>
        <w:drawing>
          <wp:inline xmlns:a="http://schemas.openxmlformats.org/drawingml/2006/main" xmlns:pic="http://schemas.openxmlformats.org/drawingml/2006/picture">
            <wp:extent cx="6172200" cy="3350623"/>
            <wp:docPr id="3" name="Picture 3"/>
            <wp:cNvGraphicFramePr>
              <a:graphicFrameLocks noChangeAspect="1"/>
            </wp:cNvGraphicFramePr>
            <a:graphic>
              <a:graphicData uri="http://schemas.openxmlformats.org/drawingml/2006/picture">
                <pic:pic>
                  <pic:nvPicPr>
                    <pic:cNvPr id="0" name="semiconductor_scorecard_comparison.png"/>
                    <pic:cNvPicPr/>
                  </pic:nvPicPr>
                  <pic:blipFill>
                    <a:blip r:embed="rId11"/>
                    <a:stretch>
                      <a:fillRect/>
                    </a:stretch>
                  </pic:blipFill>
                  <pic:spPr>
                    <a:xfrm>
                      <a:off x="0" y="0"/>
                      <a:ext cx="6172200" cy="3350623"/>
                    </a:xfrm>
                    <a:prstGeom prst="rect"/>
                  </pic:spPr>
                </pic:pic>
              </a:graphicData>
            </a:graphic>
          </wp:inline>
        </w:drawing>
      </w:r>
    </w:p>
    <w:p>
      <w:pPr>
        <w:jc w:val="center"/>
      </w:pPr>
      <w:r>
        <w:rPr>
          <w:i/>
          <w:sz w:val="18"/>
        </w:rPr>
        <w:t>Figure 3  Original long-term semiconductor score versus the cycle-aware score. TSMC remains on the long-term scorecard.</w:t>
      </w:r>
    </w:p>
    <w:p>
      <w:r>
        <w:br w:type="page"/>
      </w:r>
    </w:p>
    <w:p>
      <w:pPr>
        <w:pStyle w:val="Heading1"/>
      </w:pPr>
      <w:r>
        <w:t>Company-level semiconductor results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037"/>
            <w:vAlign w:val="center"/>
            <w:tcMar>
              <w:top w:w="90" w:type="dxa"/>
              <w:start w:w="90" w:type="dxa"/>
              <w:bottom w:w="90" w:type="dxa"/>
              <w:end w:w="90" w:type="dxa"/>
            </w:tcMar>
            <w:shd w:fill="17365D"/>
          </w:tcPr>
          <w:p>
            <w:pPr>
              <w:spacing w:after="0" w:line="240" w:lineRule="auto"/>
            </w:pPr>
            <w:r>
              <w:rPr>
                <w:rFonts w:ascii="Arial" w:hAnsi="Arial"/>
                <w:b/>
                <w:color w:val="FFFFFF"/>
                <w:sz w:val="15"/>
              </w:rPr>
              <w:t>Ticker</w:t>
            </w:r>
          </w:p>
        </w:tc>
        <w:tc>
          <w:tcPr>
            <w:tcW w:type="dxa" w:w="2520"/>
            <w:vAlign w:val="center"/>
            <w:tcMar>
              <w:top w:w="90" w:type="dxa"/>
              <w:start w:w="90" w:type="dxa"/>
              <w:bottom w:w="90" w:type="dxa"/>
              <w:end w:w="90" w:type="dxa"/>
            </w:tcMar>
            <w:shd w:fill="17365D"/>
          </w:tcPr>
          <w:p>
            <w:pPr>
              <w:spacing w:after="0" w:line="240" w:lineRule="auto"/>
            </w:pPr>
            <w:r>
              <w:rPr>
                <w:rFonts w:ascii="Arial" w:hAnsi="Arial"/>
                <w:b/>
                <w:color w:val="FFFFFF"/>
                <w:sz w:val="15"/>
              </w:rPr>
              <w:t>Company</w:t>
            </w:r>
          </w:p>
        </w:tc>
        <w:tc>
          <w:tcPr>
            <w:tcW w:type="dxa" w:w="1008"/>
            <w:vAlign w:val="center"/>
            <w:tcMar>
              <w:top w:w="90" w:type="dxa"/>
              <w:start w:w="90" w:type="dxa"/>
              <w:bottom w:w="90" w:type="dxa"/>
              <w:end w:w="90" w:type="dxa"/>
            </w:tcMar>
            <w:shd w:fill="17365D"/>
          </w:tcPr>
          <w:p>
            <w:pPr>
              <w:spacing w:after="0" w:line="240" w:lineRule="auto"/>
            </w:pPr>
            <w:r>
              <w:rPr>
                <w:rFonts w:ascii="Arial" w:hAnsi="Arial"/>
                <w:b/>
                <w:color w:val="FFFFFF"/>
                <w:sz w:val="15"/>
              </w:rPr>
              <w:t>Original</w:t>
            </w:r>
          </w:p>
        </w:tc>
        <w:tc>
          <w:tcPr>
            <w:tcW w:type="dxa" w:w="1008"/>
            <w:vAlign w:val="center"/>
            <w:tcMar>
              <w:top w:w="90" w:type="dxa"/>
              <w:start w:w="90" w:type="dxa"/>
              <w:bottom w:w="90" w:type="dxa"/>
              <w:end w:w="90" w:type="dxa"/>
            </w:tcMar>
            <w:shd w:fill="17365D"/>
          </w:tcPr>
          <w:p>
            <w:pPr>
              <w:spacing w:after="0" w:line="240" w:lineRule="auto"/>
            </w:pPr>
            <w:r>
              <w:rPr>
                <w:rFonts w:ascii="Arial" w:hAnsi="Arial"/>
                <w:b/>
                <w:color w:val="FFFFFF"/>
                <w:sz w:val="15"/>
              </w:rPr>
              <w:t>Enhanced</w:t>
            </w:r>
          </w:p>
        </w:tc>
        <w:tc>
          <w:tcPr>
            <w:tcW w:type="dxa" w:w="1181"/>
            <w:vAlign w:val="center"/>
            <w:tcMar>
              <w:top w:w="90" w:type="dxa"/>
              <w:start w:w="90" w:type="dxa"/>
              <w:bottom w:w="90" w:type="dxa"/>
              <w:end w:w="90" w:type="dxa"/>
            </w:tcMar>
            <w:shd w:fill="17365D"/>
          </w:tcPr>
          <w:p>
            <w:pPr>
              <w:spacing w:after="0" w:line="240" w:lineRule="auto"/>
            </w:pPr>
            <w:r>
              <w:rPr>
                <w:rFonts w:ascii="Arial" w:hAnsi="Arial"/>
                <w:b/>
                <w:color w:val="FFFFFF"/>
                <w:sz w:val="15"/>
              </w:rPr>
              <w:t>Verdict</w:t>
            </w:r>
          </w:p>
        </w:tc>
        <w:tc>
          <w:tcPr>
            <w:tcW w:type="dxa" w:w="1181"/>
            <w:vAlign w:val="center"/>
            <w:tcMar>
              <w:top w:w="90" w:type="dxa"/>
              <w:start w:w="90" w:type="dxa"/>
              <w:bottom w:w="90" w:type="dxa"/>
              <w:end w:w="90" w:type="dxa"/>
            </w:tcMar>
            <w:shd w:fill="17365D"/>
          </w:tcPr>
          <w:p>
            <w:pPr>
              <w:spacing w:after="0" w:line="240" w:lineRule="auto"/>
            </w:pPr>
            <w:r>
              <w:rPr>
                <w:rFonts w:ascii="Arial" w:hAnsi="Arial"/>
                <w:b/>
                <w:color w:val="FFFFFF"/>
                <w:sz w:val="15"/>
              </w:rPr>
              <w:t>USD return</w:t>
            </w:r>
          </w:p>
        </w:tc>
        <w:tc>
          <w:tcPr>
            <w:tcW w:type="dxa" w:w="1181"/>
            <w:vAlign w:val="center"/>
            <w:tcMar>
              <w:top w:w="90" w:type="dxa"/>
              <w:start w:w="90" w:type="dxa"/>
              <w:bottom w:w="90" w:type="dxa"/>
              <w:end w:w="90" w:type="dxa"/>
            </w:tcMar>
            <w:shd w:fill="17365D"/>
          </w:tcPr>
          <w:p>
            <w:pPr>
              <w:spacing w:after="0" w:line="240" w:lineRule="auto"/>
            </w:pPr>
            <w:r>
              <w:rPr>
                <w:rFonts w:ascii="Arial" w:hAnsi="Arial"/>
                <w:b/>
                <w:color w:val="FFFFFF"/>
                <w:sz w:val="15"/>
              </w:rPr>
              <w:t>USD excess</w:t>
            </w:r>
          </w:p>
        </w:tc>
      </w:tr>
      <w:tr>
        <w:tc>
          <w:tcPr>
            <w:tcW w:type="dxa" w:w="1037"/>
            <w:vAlign w:val="center"/>
            <w:tcMar>
              <w:top w:w="90" w:type="dxa"/>
              <w:start w:w="90" w:type="dxa"/>
              <w:bottom w:w="90" w:type="dxa"/>
              <w:end w:w="90" w:type="dxa"/>
            </w:tcMar>
          </w:tcPr>
          <w:p>
            <w:pPr>
              <w:spacing w:after="0" w:line="240" w:lineRule="auto"/>
            </w:pPr>
            <w:r>
              <w:rPr>
                <w:rFonts w:ascii="Arial" w:hAnsi="Arial"/>
                <w:sz w:val="15"/>
              </w:rPr>
              <w:t>MU</w:t>
            </w:r>
          </w:p>
        </w:tc>
        <w:tc>
          <w:tcPr>
            <w:tcW w:type="dxa" w:w="2520"/>
            <w:vAlign w:val="center"/>
            <w:tcMar>
              <w:top w:w="90" w:type="dxa"/>
              <w:start w:w="90" w:type="dxa"/>
              <w:bottom w:w="90" w:type="dxa"/>
              <w:end w:w="90" w:type="dxa"/>
            </w:tcMar>
          </w:tcPr>
          <w:p>
            <w:pPr>
              <w:spacing w:after="0" w:line="240" w:lineRule="auto"/>
            </w:pPr>
            <w:r>
              <w:rPr>
                <w:rFonts w:ascii="Arial" w:hAnsi="Arial"/>
                <w:sz w:val="15"/>
              </w:rPr>
              <w:t>Micron Technology</w:t>
            </w:r>
          </w:p>
        </w:tc>
        <w:tc>
          <w:tcPr>
            <w:tcW w:type="dxa" w:w="1008"/>
            <w:vAlign w:val="center"/>
            <w:tcMar>
              <w:top w:w="90" w:type="dxa"/>
              <w:start w:w="90" w:type="dxa"/>
              <w:bottom w:w="90" w:type="dxa"/>
              <w:end w:w="90" w:type="dxa"/>
            </w:tcMar>
          </w:tcPr>
          <w:p>
            <w:pPr>
              <w:spacing w:after="0" w:line="240" w:lineRule="auto"/>
            </w:pPr>
            <w:r>
              <w:rPr>
                <w:rFonts w:ascii="Arial" w:hAnsi="Arial"/>
                <w:sz w:val="15"/>
              </w:rPr>
              <w:t>55.2</w:t>
            </w:r>
          </w:p>
        </w:tc>
        <w:tc>
          <w:tcPr>
            <w:tcW w:type="dxa" w:w="1008"/>
            <w:vAlign w:val="center"/>
            <w:tcMar>
              <w:top w:w="90" w:type="dxa"/>
              <w:start w:w="90" w:type="dxa"/>
              <w:bottom w:w="90" w:type="dxa"/>
              <w:end w:w="90" w:type="dxa"/>
            </w:tcMar>
          </w:tcPr>
          <w:p>
            <w:pPr>
              <w:spacing w:after="0" w:line="240" w:lineRule="auto"/>
            </w:pPr>
            <w:r>
              <w:rPr>
                <w:rFonts w:ascii="Arial" w:hAnsi="Arial"/>
                <w:sz w:val="15"/>
              </w:rPr>
              <w:t>72.6</w:t>
            </w:r>
          </w:p>
        </w:tc>
        <w:tc>
          <w:tcPr>
            <w:tcW w:type="dxa" w:w="1181"/>
            <w:vAlign w:val="center"/>
            <w:tcMar>
              <w:top w:w="90" w:type="dxa"/>
              <w:start w:w="90" w:type="dxa"/>
              <w:bottom w:w="90" w:type="dxa"/>
              <w:end w:w="90" w:type="dxa"/>
            </w:tcMar>
          </w:tcPr>
          <w:p>
            <w:pPr>
              <w:spacing w:after="0" w:line="240" w:lineRule="auto"/>
            </w:pPr>
            <w:r>
              <w:rPr>
                <w:rFonts w:ascii="Arial" w:hAnsi="Arial"/>
                <w:sz w:val="15"/>
              </w:rPr>
              <w:t>Watch</w:t>
            </w:r>
          </w:p>
        </w:tc>
        <w:tc>
          <w:tcPr>
            <w:tcW w:type="dxa" w:w="1181"/>
            <w:vAlign w:val="center"/>
            <w:tcMar>
              <w:top w:w="90" w:type="dxa"/>
              <w:start w:w="90" w:type="dxa"/>
              <w:bottom w:w="90" w:type="dxa"/>
              <w:end w:w="90" w:type="dxa"/>
            </w:tcMar>
          </w:tcPr>
          <w:p>
            <w:pPr>
              <w:spacing w:after="0" w:line="240" w:lineRule="auto"/>
            </w:pPr>
            <w:r>
              <w:rPr>
                <w:rFonts w:ascii="Arial" w:hAnsi="Arial"/>
                <w:sz w:val="15"/>
              </w:rPr>
              <w:t>140.3%</w:t>
            </w:r>
          </w:p>
        </w:tc>
        <w:tc>
          <w:tcPr>
            <w:tcW w:type="dxa" w:w="1181"/>
            <w:vAlign w:val="center"/>
            <w:tcMar>
              <w:top w:w="90" w:type="dxa"/>
              <w:start w:w="90" w:type="dxa"/>
              <w:bottom w:w="90" w:type="dxa"/>
              <w:end w:w="90" w:type="dxa"/>
            </w:tcMar>
          </w:tcPr>
          <w:p>
            <w:pPr>
              <w:spacing w:after="0" w:line="240" w:lineRule="auto"/>
            </w:pPr>
            <w:r>
              <w:rPr>
                <w:rFonts w:ascii="Arial" w:hAnsi="Arial"/>
                <w:sz w:val="15"/>
              </w:rPr>
              <w:t>122.8%</w:t>
            </w:r>
          </w:p>
        </w:tc>
      </w:tr>
      <w:tr>
        <w:tc>
          <w:tcPr>
            <w:tcW w:type="dxa" w:w="1037"/>
            <w:vAlign w:val="center"/>
            <w:tcMar>
              <w:top w:w="90" w:type="dxa"/>
              <w:start w:w="90" w:type="dxa"/>
              <w:bottom w:w="90" w:type="dxa"/>
              <w:end w:w="90" w:type="dxa"/>
            </w:tcMar>
            <w:shd w:fill="EAF3F8"/>
          </w:tcPr>
          <w:p>
            <w:pPr>
              <w:spacing w:after="0" w:line="240" w:lineRule="auto"/>
            </w:pPr>
            <w:r>
              <w:rPr>
                <w:rFonts w:ascii="Arial" w:hAnsi="Arial"/>
                <w:sz w:val="15"/>
              </w:rPr>
              <w:t>000660.KS</w:t>
            </w:r>
          </w:p>
        </w:tc>
        <w:tc>
          <w:tcPr>
            <w:tcW w:type="dxa" w:w="2520"/>
            <w:vAlign w:val="center"/>
            <w:tcMar>
              <w:top w:w="90" w:type="dxa"/>
              <w:start w:w="90" w:type="dxa"/>
              <w:bottom w:w="90" w:type="dxa"/>
              <w:end w:w="90" w:type="dxa"/>
            </w:tcMar>
            <w:shd w:fill="EAF3F8"/>
          </w:tcPr>
          <w:p>
            <w:pPr>
              <w:spacing w:after="0" w:line="240" w:lineRule="auto"/>
            </w:pPr>
            <w:r>
              <w:rPr>
                <w:rFonts w:ascii="Arial" w:hAnsi="Arial"/>
                <w:sz w:val="15"/>
              </w:rPr>
              <w:t>SK Hynix</w:t>
            </w:r>
          </w:p>
        </w:tc>
        <w:tc>
          <w:tcPr>
            <w:tcW w:type="dxa" w:w="1008"/>
            <w:vAlign w:val="center"/>
            <w:tcMar>
              <w:top w:w="90" w:type="dxa"/>
              <w:start w:w="90" w:type="dxa"/>
              <w:bottom w:w="90" w:type="dxa"/>
              <w:end w:w="90" w:type="dxa"/>
            </w:tcMar>
            <w:shd w:fill="EAF3F8"/>
          </w:tcPr>
          <w:p>
            <w:pPr>
              <w:spacing w:after="0" w:line="240" w:lineRule="auto"/>
            </w:pPr>
            <w:r>
              <w:rPr>
                <w:rFonts w:ascii="Arial" w:hAnsi="Arial"/>
                <w:sz w:val="15"/>
              </w:rPr>
              <w:t>76.6</w:t>
            </w:r>
          </w:p>
        </w:tc>
        <w:tc>
          <w:tcPr>
            <w:tcW w:type="dxa" w:w="1008"/>
            <w:vAlign w:val="center"/>
            <w:tcMar>
              <w:top w:w="90" w:type="dxa"/>
              <w:start w:w="90" w:type="dxa"/>
              <w:bottom w:w="90" w:type="dxa"/>
              <w:end w:w="90" w:type="dxa"/>
            </w:tcMar>
            <w:shd w:fill="EAF3F8"/>
          </w:tcPr>
          <w:p>
            <w:pPr>
              <w:spacing w:after="0" w:line="240" w:lineRule="auto"/>
            </w:pPr>
            <w:r>
              <w:rPr>
                <w:rFonts w:ascii="Arial" w:hAnsi="Arial"/>
                <w:sz w:val="15"/>
              </w:rPr>
              <w:t>79.9</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Buy</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99.2%</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70.4%</w:t>
            </w:r>
          </w:p>
        </w:tc>
      </w:tr>
      <w:tr>
        <w:tc>
          <w:tcPr>
            <w:tcW w:type="dxa" w:w="1037"/>
            <w:vAlign w:val="center"/>
            <w:tcMar>
              <w:top w:w="90" w:type="dxa"/>
              <w:start w:w="90" w:type="dxa"/>
              <w:bottom w:w="90" w:type="dxa"/>
              <w:end w:w="90" w:type="dxa"/>
            </w:tcMar>
          </w:tcPr>
          <w:p>
            <w:pPr>
              <w:spacing w:after="0" w:line="240" w:lineRule="auto"/>
            </w:pPr>
            <w:r>
              <w:rPr>
                <w:rFonts w:ascii="Arial" w:hAnsi="Arial"/>
                <w:sz w:val="15"/>
              </w:rPr>
              <w:t>005930.KS</w:t>
            </w:r>
          </w:p>
        </w:tc>
        <w:tc>
          <w:tcPr>
            <w:tcW w:type="dxa" w:w="2520"/>
            <w:vAlign w:val="center"/>
            <w:tcMar>
              <w:top w:w="90" w:type="dxa"/>
              <w:start w:w="90" w:type="dxa"/>
              <w:bottom w:w="90" w:type="dxa"/>
              <w:end w:w="90" w:type="dxa"/>
            </w:tcMar>
          </w:tcPr>
          <w:p>
            <w:pPr>
              <w:spacing w:after="0" w:line="240" w:lineRule="auto"/>
            </w:pPr>
            <w:r>
              <w:rPr>
                <w:rFonts w:ascii="Arial" w:hAnsi="Arial"/>
                <w:sz w:val="15"/>
              </w:rPr>
              <w:t>Samsung Electronics</w:t>
            </w:r>
          </w:p>
        </w:tc>
        <w:tc>
          <w:tcPr>
            <w:tcW w:type="dxa" w:w="1008"/>
            <w:vAlign w:val="center"/>
            <w:tcMar>
              <w:top w:w="90" w:type="dxa"/>
              <w:start w:w="90" w:type="dxa"/>
              <w:bottom w:w="90" w:type="dxa"/>
              <w:end w:w="90" w:type="dxa"/>
            </w:tcMar>
          </w:tcPr>
          <w:p>
            <w:pPr>
              <w:spacing w:after="0" w:line="240" w:lineRule="auto"/>
            </w:pPr>
            <w:r>
              <w:rPr>
                <w:rFonts w:ascii="Arial" w:hAnsi="Arial"/>
                <w:sz w:val="15"/>
              </w:rPr>
              <w:t>63.3</w:t>
            </w:r>
          </w:p>
        </w:tc>
        <w:tc>
          <w:tcPr>
            <w:tcW w:type="dxa" w:w="1008"/>
            <w:vAlign w:val="center"/>
            <w:tcMar>
              <w:top w:w="90" w:type="dxa"/>
              <w:start w:w="90" w:type="dxa"/>
              <w:bottom w:w="90" w:type="dxa"/>
              <w:end w:w="90" w:type="dxa"/>
            </w:tcMar>
          </w:tcPr>
          <w:p>
            <w:pPr>
              <w:spacing w:after="0" w:line="240" w:lineRule="auto"/>
            </w:pPr>
            <w:r>
              <w:rPr>
                <w:rFonts w:ascii="Arial" w:hAnsi="Arial"/>
                <w:sz w:val="15"/>
              </w:rPr>
              <w:t>73.8</w:t>
            </w:r>
          </w:p>
        </w:tc>
        <w:tc>
          <w:tcPr>
            <w:tcW w:type="dxa" w:w="1181"/>
            <w:vAlign w:val="center"/>
            <w:tcMar>
              <w:top w:w="90" w:type="dxa"/>
              <w:start w:w="90" w:type="dxa"/>
              <w:bottom w:w="90" w:type="dxa"/>
              <w:end w:w="90" w:type="dxa"/>
            </w:tcMar>
          </w:tcPr>
          <w:p>
            <w:pPr>
              <w:spacing w:after="0" w:line="240" w:lineRule="auto"/>
            </w:pPr>
            <w:r>
              <w:rPr>
                <w:rFonts w:ascii="Arial" w:hAnsi="Arial"/>
                <w:sz w:val="15"/>
              </w:rPr>
              <w:t>Watch</w:t>
            </w:r>
          </w:p>
        </w:tc>
        <w:tc>
          <w:tcPr>
            <w:tcW w:type="dxa" w:w="1181"/>
            <w:vAlign w:val="center"/>
            <w:tcMar>
              <w:top w:w="90" w:type="dxa"/>
              <w:start w:w="90" w:type="dxa"/>
              <w:bottom w:w="90" w:type="dxa"/>
              <w:end w:w="90" w:type="dxa"/>
            </w:tcMar>
          </w:tcPr>
          <w:p>
            <w:pPr>
              <w:spacing w:after="0" w:line="240" w:lineRule="auto"/>
            </w:pPr>
            <w:r>
              <w:rPr>
                <w:rFonts w:ascii="Arial" w:hAnsi="Arial"/>
                <w:sz w:val="15"/>
              </w:rPr>
              <w:t>41.8%</w:t>
            </w:r>
          </w:p>
        </w:tc>
        <w:tc>
          <w:tcPr>
            <w:tcW w:type="dxa" w:w="1181"/>
            <w:vAlign w:val="center"/>
            <w:tcMar>
              <w:top w:w="90" w:type="dxa"/>
              <w:start w:w="90" w:type="dxa"/>
              <w:bottom w:w="90" w:type="dxa"/>
              <w:end w:w="90" w:type="dxa"/>
            </w:tcMar>
          </w:tcPr>
          <w:p>
            <w:pPr>
              <w:spacing w:after="0" w:line="240" w:lineRule="auto"/>
            </w:pPr>
            <w:r>
              <w:rPr>
                <w:rFonts w:ascii="Arial" w:hAnsi="Arial"/>
                <w:sz w:val="15"/>
              </w:rPr>
              <w:t>13.0%</w:t>
            </w:r>
          </w:p>
        </w:tc>
      </w:tr>
      <w:tr>
        <w:tc>
          <w:tcPr>
            <w:tcW w:type="dxa" w:w="1037"/>
            <w:vAlign w:val="center"/>
            <w:tcMar>
              <w:top w:w="90" w:type="dxa"/>
              <w:start w:w="90" w:type="dxa"/>
              <w:bottom w:w="90" w:type="dxa"/>
              <w:end w:w="90" w:type="dxa"/>
            </w:tcMar>
            <w:shd w:fill="EAF3F8"/>
          </w:tcPr>
          <w:p>
            <w:pPr>
              <w:spacing w:after="0" w:line="240" w:lineRule="auto"/>
            </w:pPr>
            <w:r>
              <w:rPr>
                <w:rFonts w:ascii="Arial" w:hAnsi="Arial"/>
                <w:sz w:val="15"/>
              </w:rPr>
              <w:t>2408.TW</w:t>
            </w:r>
          </w:p>
        </w:tc>
        <w:tc>
          <w:tcPr>
            <w:tcW w:type="dxa" w:w="2520"/>
            <w:vAlign w:val="center"/>
            <w:tcMar>
              <w:top w:w="90" w:type="dxa"/>
              <w:start w:w="90" w:type="dxa"/>
              <w:bottom w:w="90" w:type="dxa"/>
              <w:end w:w="90" w:type="dxa"/>
            </w:tcMar>
            <w:shd w:fill="EAF3F8"/>
          </w:tcPr>
          <w:p>
            <w:pPr>
              <w:spacing w:after="0" w:line="240" w:lineRule="auto"/>
            </w:pPr>
            <w:r>
              <w:rPr>
                <w:rFonts w:ascii="Arial" w:hAnsi="Arial"/>
                <w:sz w:val="15"/>
              </w:rPr>
              <w:t>Nanya Technology</w:t>
            </w:r>
          </w:p>
        </w:tc>
        <w:tc>
          <w:tcPr>
            <w:tcW w:type="dxa" w:w="1008"/>
            <w:vAlign w:val="center"/>
            <w:tcMar>
              <w:top w:w="90" w:type="dxa"/>
              <w:start w:w="90" w:type="dxa"/>
              <w:bottom w:w="90" w:type="dxa"/>
              <w:end w:w="90" w:type="dxa"/>
            </w:tcMar>
            <w:shd w:fill="EAF3F8"/>
          </w:tcPr>
          <w:p>
            <w:pPr>
              <w:spacing w:after="0" w:line="240" w:lineRule="auto"/>
            </w:pPr>
            <w:r>
              <w:rPr>
                <w:rFonts w:ascii="Arial" w:hAnsi="Arial"/>
                <w:sz w:val="15"/>
              </w:rPr>
              <w:t>56.3</w:t>
            </w:r>
          </w:p>
        </w:tc>
        <w:tc>
          <w:tcPr>
            <w:tcW w:type="dxa" w:w="1008"/>
            <w:vAlign w:val="center"/>
            <w:tcMar>
              <w:top w:w="90" w:type="dxa"/>
              <w:start w:w="90" w:type="dxa"/>
              <w:bottom w:w="90" w:type="dxa"/>
              <w:end w:w="90" w:type="dxa"/>
            </w:tcMar>
            <w:shd w:fill="EAF3F8"/>
          </w:tcPr>
          <w:p>
            <w:pPr>
              <w:spacing w:after="0" w:line="240" w:lineRule="auto"/>
            </w:pPr>
            <w:r>
              <w:rPr>
                <w:rFonts w:ascii="Arial" w:hAnsi="Arial"/>
                <w:sz w:val="15"/>
              </w:rPr>
              <w:t>74.0</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Watch</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124.7%</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84.3%</w:t>
            </w:r>
          </w:p>
        </w:tc>
      </w:tr>
      <w:tr>
        <w:tc>
          <w:tcPr>
            <w:tcW w:type="dxa" w:w="1037"/>
            <w:vAlign w:val="center"/>
            <w:tcMar>
              <w:top w:w="90" w:type="dxa"/>
              <w:start w:w="90" w:type="dxa"/>
              <w:bottom w:w="90" w:type="dxa"/>
              <w:end w:w="90" w:type="dxa"/>
            </w:tcMar>
          </w:tcPr>
          <w:p>
            <w:pPr>
              <w:spacing w:after="0" w:line="240" w:lineRule="auto"/>
            </w:pPr>
            <w:r>
              <w:rPr>
                <w:rFonts w:ascii="Arial" w:hAnsi="Arial"/>
                <w:sz w:val="15"/>
              </w:rPr>
              <w:t>2344.TW</w:t>
            </w:r>
          </w:p>
        </w:tc>
        <w:tc>
          <w:tcPr>
            <w:tcW w:type="dxa" w:w="2520"/>
            <w:vAlign w:val="center"/>
            <w:tcMar>
              <w:top w:w="90" w:type="dxa"/>
              <w:start w:w="90" w:type="dxa"/>
              <w:bottom w:w="90" w:type="dxa"/>
              <w:end w:w="90" w:type="dxa"/>
            </w:tcMar>
          </w:tcPr>
          <w:p>
            <w:pPr>
              <w:spacing w:after="0" w:line="240" w:lineRule="auto"/>
            </w:pPr>
            <w:r>
              <w:rPr>
                <w:rFonts w:ascii="Arial" w:hAnsi="Arial"/>
                <w:sz w:val="15"/>
              </w:rPr>
              <w:t>Winbond Electronics</w:t>
            </w:r>
          </w:p>
        </w:tc>
        <w:tc>
          <w:tcPr>
            <w:tcW w:type="dxa" w:w="1008"/>
            <w:vAlign w:val="center"/>
            <w:tcMar>
              <w:top w:w="90" w:type="dxa"/>
              <w:start w:w="90" w:type="dxa"/>
              <w:bottom w:w="90" w:type="dxa"/>
              <w:end w:w="90" w:type="dxa"/>
            </w:tcMar>
          </w:tcPr>
          <w:p>
            <w:pPr>
              <w:spacing w:after="0" w:line="240" w:lineRule="auto"/>
            </w:pPr>
            <w:r>
              <w:rPr>
                <w:rFonts w:ascii="Arial" w:hAnsi="Arial"/>
                <w:sz w:val="15"/>
              </w:rPr>
              <w:t>46.1</w:t>
            </w:r>
          </w:p>
        </w:tc>
        <w:tc>
          <w:tcPr>
            <w:tcW w:type="dxa" w:w="1008"/>
            <w:vAlign w:val="center"/>
            <w:tcMar>
              <w:top w:w="90" w:type="dxa"/>
              <w:start w:w="90" w:type="dxa"/>
              <w:bottom w:w="90" w:type="dxa"/>
              <w:end w:w="90" w:type="dxa"/>
            </w:tcMar>
          </w:tcPr>
          <w:p>
            <w:pPr>
              <w:spacing w:after="0" w:line="240" w:lineRule="auto"/>
            </w:pPr>
            <w:r>
              <w:rPr>
                <w:rFonts w:ascii="Arial" w:hAnsi="Arial"/>
                <w:sz w:val="15"/>
              </w:rPr>
              <w:t>66.2</w:t>
            </w:r>
          </w:p>
        </w:tc>
        <w:tc>
          <w:tcPr>
            <w:tcW w:type="dxa" w:w="1181"/>
            <w:vAlign w:val="center"/>
            <w:tcMar>
              <w:top w:w="90" w:type="dxa"/>
              <w:start w:w="90" w:type="dxa"/>
              <w:bottom w:w="90" w:type="dxa"/>
              <w:end w:w="90" w:type="dxa"/>
            </w:tcMar>
          </w:tcPr>
          <w:p>
            <w:pPr>
              <w:spacing w:after="0" w:line="240" w:lineRule="auto"/>
            </w:pPr>
            <w:r>
              <w:rPr>
                <w:rFonts w:ascii="Arial" w:hAnsi="Arial"/>
                <w:sz w:val="15"/>
              </w:rPr>
              <w:t>Watch</w:t>
            </w:r>
          </w:p>
        </w:tc>
        <w:tc>
          <w:tcPr>
            <w:tcW w:type="dxa" w:w="1181"/>
            <w:vAlign w:val="center"/>
            <w:tcMar>
              <w:top w:w="90" w:type="dxa"/>
              <w:start w:w="90" w:type="dxa"/>
              <w:bottom w:w="90" w:type="dxa"/>
              <w:end w:w="90" w:type="dxa"/>
            </w:tcMar>
          </w:tcPr>
          <w:p>
            <w:pPr>
              <w:spacing w:after="0" w:line="240" w:lineRule="auto"/>
            </w:pPr>
            <w:r>
              <w:rPr>
                <w:rFonts w:ascii="Arial" w:hAnsi="Arial"/>
                <w:sz w:val="15"/>
              </w:rPr>
              <w:t>63.8%</w:t>
            </w:r>
          </w:p>
        </w:tc>
        <w:tc>
          <w:tcPr>
            <w:tcW w:type="dxa" w:w="1181"/>
            <w:vAlign w:val="center"/>
            <w:tcMar>
              <w:top w:w="90" w:type="dxa"/>
              <w:start w:w="90" w:type="dxa"/>
              <w:bottom w:w="90" w:type="dxa"/>
              <w:end w:w="90" w:type="dxa"/>
            </w:tcMar>
          </w:tcPr>
          <w:p>
            <w:pPr>
              <w:spacing w:after="0" w:line="240" w:lineRule="auto"/>
            </w:pPr>
            <w:r>
              <w:rPr>
                <w:rFonts w:ascii="Arial" w:hAnsi="Arial"/>
                <w:sz w:val="15"/>
              </w:rPr>
              <w:t>23.3%</w:t>
            </w:r>
          </w:p>
        </w:tc>
      </w:tr>
      <w:tr>
        <w:tc>
          <w:tcPr>
            <w:tcW w:type="dxa" w:w="1037"/>
            <w:vAlign w:val="center"/>
            <w:tcMar>
              <w:top w:w="90" w:type="dxa"/>
              <w:start w:w="90" w:type="dxa"/>
              <w:bottom w:w="90" w:type="dxa"/>
              <w:end w:w="90" w:type="dxa"/>
            </w:tcMar>
            <w:shd w:fill="EAF3F8"/>
          </w:tcPr>
          <w:p>
            <w:pPr>
              <w:spacing w:after="0" w:line="240" w:lineRule="auto"/>
            </w:pPr>
            <w:r>
              <w:rPr>
                <w:rFonts w:ascii="Arial" w:hAnsi="Arial"/>
                <w:sz w:val="15"/>
              </w:rPr>
              <w:t>2330.TW</w:t>
            </w:r>
          </w:p>
        </w:tc>
        <w:tc>
          <w:tcPr>
            <w:tcW w:type="dxa" w:w="2520"/>
            <w:vAlign w:val="center"/>
            <w:tcMar>
              <w:top w:w="90" w:type="dxa"/>
              <w:start w:w="90" w:type="dxa"/>
              <w:bottom w:w="90" w:type="dxa"/>
              <w:end w:w="90" w:type="dxa"/>
            </w:tcMar>
            <w:shd w:fill="EAF3F8"/>
          </w:tcPr>
          <w:p>
            <w:pPr>
              <w:spacing w:after="0" w:line="240" w:lineRule="auto"/>
            </w:pPr>
            <w:r>
              <w:rPr>
                <w:rFonts w:ascii="Arial" w:hAnsi="Arial"/>
                <w:sz w:val="15"/>
              </w:rPr>
              <w:t>Taiwan Semiconductor Manufacturing</w:t>
            </w:r>
          </w:p>
        </w:tc>
        <w:tc>
          <w:tcPr>
            <w:tcW w:type="dxa" w:w="1008"/>
            <w:vAlign w:val="center"/>
            <w:tcMar>
              <w:top w:w="90" w:type="dxa"/>
              <w:start w:w="90" w:type="dxa"/>
              <w:bottom w:w="90" w:type="dxa"/>
              <w:end w:w="90" w:type="dxa"/>
            </w:tcMar>
            <w:shd w:fill="EAF3F8"/>
          </w:tcPr>
          <w:p>
            <w:pPr>
              <w:spacing w:after="0" w:line="240" w:lineRule="auto"/>
            </w:pPr>
            <w:r>
              <w:rPr>
                <w:rFonts w:ascii="Arial" w:hAnsi="Arial"/>
                <w:sz w:val="15"/>
              </w:rPr>
              <w:t>79.4</w:t>
            </w:r>
          </w:p>
        </w:tc>
        <w:tc>
          <w:tcPr>
            <w:tcW w:type="dxa" w:w="1008"/>
            <w:vAlign w:val="center"/>
            <w:tcMar>
              <w:top w:w="90" w:type="dxa"/>
              <w:start w:w="90" w:type="dxa"/>
              <w:bottom w:w="90" w:type="dxa"/>
              <w:end w:w="90" w:type="dxa"/>
            </w:tcMar>
            <w:shd w:fill="EAF3F8"/>
          </w:tcPr>
          <w:p>
            <w:pPr>
              <w:spacing w:after="0" w:line="240" w:lineRule="auto"/>
            </w:pPr>
            <w:r>
              <w:rPr>
                <w:rFonts w:ascii="Arial" w:hAnsi="Arial"/>
                <w:sz w:val="15"/>
              </w:rPr>
              <w:t>77.9</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Buy</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34.2%</w:t>
            </w:r>
          </w:p>
        </w:tc>
        <w:tc>
          <w:tcPr>
            <w:tcW w:type="dxa" w:w="1181"/>
            <w:vAlign w:val="center"/>
            <w:tcMar>
              <w:top w:w="90" w:type="dxa"/>
              <w:start w:w="90" w:type="dxa"/>
              <w:bottom w:w="90" w:type="dxa"/>
              <w:end w:w="90" w:type="dxa"/>
            </w:tcMar>
            <w:shd w:fill="EAF3F8"/>
          </w:tcPr>
          <w:p>
            <w:pPr>
              <w:spacing w:after="0" w:line="240" w:lineRule="auto"/>
            </w:pPr>
            <w:r>
              <w:rPr>
                <w:rFonts w:ascii="Arial" w:hAnsi="Arial"/>
                <w:sz w:val="15"/>
              </w:rPr>
              <w:t>-6.2%</w:t>
            </w:r>
          </w:p>
        </w:tc>
      </w:tr>
    </w:tbl>
    <w:p>
      <w:pPr>
        <w:pStyle w:val="Heading1"/>
      </w:pPr>
      <w:r>
        <w:t>Two scorecards for two economic structures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90" w:type="dxa"/>
              <w:bottom w:w="90" w:type="dxa"/>
              <w:end w:w="90" w:type="dxa"/>
            </w:tcMar>
            <w:shd w:fill="17365D"/>
          </w:tcPr>
          <w:p>
            <w:pPr>
              <w:spacing w:after="0" w:line="240" w:lineRule="auto"/>
            </w:pPr>
            <w:r>
              <w:rPr>
                <w:rFonts w:ascii="Arial" w:hAnsi="Arial"/>
                <w:b/>
                <w:color w:val="FFFFFF"/>
                <w:sz w:val="17"/>
              </w:rPr>
              <w:t>Scorecard</w:t>
            </w:r>
          </w:p>
        </w:tc>
        <w:tc>
          <w:tcPr>
            <w:tcW w:type="dxa" w:w="3384"/>
            <w:vAlign w:val="center"/>
            <w:tcMar>
              <w:top w:w="90" w:type="dxa"/>
              <w:start w:w="90" w:type="dxa"/>
              <w:bottom w:w="90" w:type="dxa"/>
              <w:end w:w="90" w:type="dxa"/>
            </w:tcMar>
            <w:shd w:fill="17365D"/>
          </w:tcPr>
          <w:p>
            <w:pPr>
              <w:spacing w:after="0" w:line="240" w:lineRule="auto"/>
            </w:pPr>
            <w:r>
              <w:rPr>
                <w:rFonts w:ascii="Arial" w:hAnsi="Arial"/>
                <w:b/>
                <w:color w:val="FFFFFF"/>
                <w:sz w:val="17"/>
              </w:rPr>
              <w:t>Use</w:t>
            </w:r>
          </w:p>
        </w:tc>
        <w:tc>
          <w:tcPr>
            <w:tcW w:type="dxa" w:w="3960"/>
            <w:vAlign w:val="center"/>
            <w:tcMar>
              <w:top w:w="90" w:type="dxa"/>
              <w:start w:w="90" w:type="dxa"/>
              <w:bottom w:w="90" w:type="dxa"/>
              <w:end w:w="90" w:type="dxa"/>
            </w:tcMar>
            <w:shd w:fill="17365D"/>
          </w:tcPr>
          <w:p>
            <w:pPr>
              <w:spacing w:after="0" w:line="240" w:lineRule="auto"/>
            </w:pPr>
            <w:r>
              <w:rPr>
                <w:rFonts w:ascii="Arial" w:hAnsi="Arial"/>
                <w:b/>
                <w:color w:val="FFFFFF"/>
                <w:sz w:val="17"/>
              </w:rPr>
              <w:t>Pillar weights</w:t>
            </w:r>
          </w:p>
        </w:tc>
      </w:tr>
      <w:tr>
        <w:tc>
          <w:tcPr>
            <w:tcW w:type="dxa" w:w="2232"/>
            <w:vAlign w:val="center"/>
            <w:tcMar>
              <w:top w:w="90" w:type="dxa"/>
              <w:start w:w="90" w:type="dxa"/>
              <w:bottom w:w="90" w:type="dxa"/>
              <w:end w:w="90" w:type="dxa"/>
            </w:tcMar>
          </w:tcPr>
          <w:p>
            <w:pPr>
              <w:spacing w:after="0" w:line="240" w:lineRule="auto"/>
            </w:pPr>
            <w:r>
              <w:rPr>
                <w:rFonts w:ascii="Arial" w:hAnsi="Arial"/>
                <w:sz w:val="17"/>
              </w:rPr>
              <w:t>Long-term semiconductor</w:t>
            </w:r>
          </w:p>
        </w:tc>
        <w:tc>
          <w:tcPr>
            <w:tcW w:type="dxa" w:w="3384"/>
            <w:vAlign w:val="center"/>
            <w:tcMar>
              <w:top w:w="90" w:type="dxa"/>
              <w:start w:w="90" w:type="dxa"/>
              <w:bottom w:w="90" w:type="dxa"/>
              <w:end w:w="90" w:type="dxa"/>
            </w:tcMar>
          </w:tcPr>
          <w:p>
            <w:pPr>
              <w:spacing w:after="0" w:line="240" w:lineRule="auto"/>
            </w:pPr>
            <w:r>
              <w:rPr>
                <w:rFonts w:ascii="Arial" w:hAnsi="Arial"/>
                <w:sz w:val="17"/>
              </w:rPr>
              <w:t>Foundries, fabless designers, equipment and diversified chip firms</w:t>
            </w:r>
          </w:p>
        </w:tc>
        <w:tc>
          <w:tcPr>
            <w:tcW w:type="dxa" w:w="3960"/>
            <w:vAlign w:val="center"/>
            <w:tcMar>
              <w:top w:w="90" w:type="dxa"/>
              <w:start w:w="90" w:type="dxa"/>
              <w:bottom w:w="90" w:type="dxa"/>
              <w:end w:w="90" w:type="dxa"/>
            </w:tcMar>
          </w:tcPr>
          <w:p>
            <w:pPr>
              <w:spacing w:after="0" w:line="240" w:lineRule="auto"/>
            </w:pPr>
            <w:r>
              <w:rPr>
                <w:rFonts w:ascii="Arial" w:hAnsi="Arial"/>
                <w:sz w:val="17"/>
              </w:rPr>
              <w:t>Quality 25%; growth/cycle 25%; valuation 15%; balance sheet 15%; innovation/reinvestment 10%; risk/momentum 10%</w:t>
            </w:r>
          </w:p>
        </w:tc>
      </w:tr>
      <w:tr>
        <w:tc>
          <w:tcPr>
            <w:tcW w:type="dxa" w:w="2232"/>
            <w:vAlign w:val="center"/>
            <w:tcMar>
              <w:top w:w="90" w:type="dxa"/>
              <w:start w:w="90" w:type="dxa"/>
              <w:bottom w:w="90" w:type="dxa"/>
              <w:end w:w="90" w:type="dxa"/>
            </w:tcMar>
            <w:shd w:fill="EAF3F8"/>
          </w:tcPr>
          <w:p>
            <w:pPr>
              <w:spacing w:after="0" w:line="240" w:lineRule="auto"/>
            </w:pPr>
            <w:r>
              <w:rPr>
                <w:rFonts w:ascii="Arial" w:hAnsi="Arial"/>
                <w:sz w:val="17"/>
              </w:rPr>
              <w:t>Tactical memory semiconductor</w:t>
            </w:r>
          </w:p>
        </w:tc>
        <w:tc>
          <w:tcPr>
            <w:tcW w:type="dxa" w:w="3384"/>
            <w:vAlign w:val="center"/>
            <w:tcMar>
              <w:top w:w="90" w:type="dxa"/>
              <w:start w:w="90" w:type="dxa"/>
              <w:bottom w:w="90" w:type="dxa"/>
              <w:end w:w="90" w:type="dxa"/>
            </w:tcMar>
            <w:shd w:fill="EAF3F8"/>
          </w:tcPr>
          <w:p>
            <w:pPr>
              <w:spacing w:after="0" w:line="240" w:lineRule="auto"/>
            </w:pPr>
            <w:r>
              <w:rPr>
                <w:rFonts w:ascii="Arial" w:hAnsi="Arial"/>
                <w:sz w:val="17"/>
              </w:rPr>
              <w:t>DRAM, HBM and memory manufacturers with pronounced pricing cycles</w:t>
            </w:r>
          </w:p>
        </w:tc>
        <w:tc>
          <w:tcPr>
            <w:tcW w:type="dxa" w:w="3960"/>
            <w:vAlign w:val="center"/>
            <w:tcMar>
              <w:top w:w="90" w:type="dxa"/>
              <w:start w:w="90" w:type="dxa"/>
              <w:bottom w:w="90" w:type="dxa"/>
              <w:end w:w="90" w:type="dxa"/>
            </w:tcMar>
            <w:shd w:fill="EAF3F8"/>
          </w:tcPr>
          <w:p>
            <w:pPr>
              <w:spacing w:after="0" w:line="240" w:lineRule="auto"/>
            </w:pPr>
            <w:r>
              <w:rPr>
                <w:rFonts w:ascii="Arial" w:hAnsi="Arial"/>
                <w:sz w:val="17"/>
              </w:rPr>
              <w:t>Quality 15%; cycle/earnings inflection 25%; memory market cycle 20%; valuation 10%; balance sheet 10%; innovation 5%; risk/momentum 15%</w:t>
            </w:r>
          </w:p>
        </w:tc>
      </w:tr>
    </w:tbl>
    <w:p>
      <w:r>
        <w:t>The memory-market-cycle pillar uses a verified point-in-time override. TrendForce published a 90–95% quarter-over-quarter conventional DRAM contract-price forecast on 2 February 2026. The model records the 92.5% midpoint, the publication date, direct source URL, and verifier. Because it is common industry information rather than company-specific alpha, it improves regime recognition but cannot by itself rank memory producers.</w:t>
      </w:r>
    </w:p>
    <w:p>
      <w:pPr>
        <w:pStyle w:val="Heading2"/>
      </w:pPr>
      <w:r>
        <w:t>Interpretation guardrail</w:t>
      </w:r>
    </w:p>
    <w:p>
      <w:r>
        <w:t>This redesign was informed by the same six-month outcome used to evaluate it. The improvement is therefore in-sample and must not be presented as independent validation. It is a better-specified hypothesis for the next walk-forward test. The weights and anchors should now be frozen before testing earlier and later memory cycles.</w:t>
      </w:r>
    </w:p>
    <w:p>
      <w:pPr>
        <w:pStyle w:val="Heading1"/>
      </w:pPr>
      <w:r>
        <w:t>Limitations</w:t>
      </w:r>
    </w:p>
    <w:p>
      <w:pPr>
        <w:pStyle w:val="ListBullet"/>
      </w:pPr>
      <w:r>
        <w:t>The sample contains 18 companies and one six-month market regime. Statistical conclusions are fragile.</w:t>
      </w:r>
    </w:p>
    <w:p>
      <w:pPr>
        <w:pStyle w:val="ListBullet"/>
      </w:pPr>
      <w:r>
        <w:t>Only one company qualified as a Buy Candidate, so Buy performance cannot be generalized.</w:t>
      </w:r>
    </w:p>
    <w:p>
      <w:pPr>
        <w:pStyle w:val="ListBullet"/>
      </w:pPr>
      <w:r>
        <w:t>Yahoo Finance statement periods were filtered to dates on or before the scoring date, but historical filing publication timestamps and restatement vintages were unavailable. The test therefore cannot guarantee a fully point-in-time financial dataset.</w:t>
      </w:r>
    </w:p>
    <w:p>
      <w:pPr>
        <w:pStyle w:val="ListBullet"/>
      </w:pPr>
      <w:r>
        <w:t>The universe was selected to cover markets and team mandates rather than through a randomized or exhaustive sampling procedure.</w:t>
      </w:r>
    </w:p>
    <w:p>
      <w:pPr>
        <w:pStyle w:val="ListBullet"/>
      </w:pPr>
      <w:r>
        <w:t>The test evaluates rank and verdict outcomes, not portfolio position sizing, turnover, transaction costs, taxes, liquidity, or the defensive sleeve.</w:t>
      </w:r>
    </w:p>
    <w:p>
      <w:pPr>
        <w:pStyle w:val="ListBullet"/>
      </w:pPr>
      <w:r>
        <w:t>A six-month realization is shorter than the model's stated three-to-five-year holding horizon.</w:t>
      </w:r>
    </w:p>
    <w:p>
      <w:pPr>
        <w:pStyle w:val="ListBullet"/>
      </w:pPr>
      <w:r>
        <w:t>The cycle-aware memory scorecard was designed after observing this cohort's outcome, so its improved classifications are in-sample and subject to overfitting.</w:t>
      </w:r>
    </w:p>
    <w:p>
      <w:pPr>
        <w:pStyle w:val="Heading1"/>
      </w:pPr>
      <w:r>
        <w:t>Recommended next steps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90" w:type="dxa"/>
              <w:start w:w="90" w:type="dxa"/>
              <w:bottom w:w="90" w:type="dxa"/>
              <w:end w:w="90" w:type="dxa"/>
            </w:tcMar>
            <w:shd w:fill="17365D"/>
          </w:tcPr>
          <w:p>
            <w:pPr>
              <w:spacing w:after="0" w:line="240" w:lineRule="auto"/>
            </w:pPr>
            <w:r>
              <w:rPr>
                <w:rFonts w:ascii="Arial" w:hAnsi="Arial"/>
                <w:b/>
                <w:color w:val="FFFFFF"/>
                <w:sz w:val="18"/>
              </w:rPr>
              <w:t>Priority</w:t>
            </w:r>
          </w:p>
        </w:tc>
        <w:tc>
          <w:tcPr>
            <w:tcW w:type="dxa" w:w="7272"/>
            <w:vAlign w:val="center"/>
            <w:tcMar>
              <w:top w:w="90" w:type="dxa"/>
              <w:start w:w="90" w:type="dxa"/>
              <w:bottom w:w="90" w:type="dxa"/>
              <w:end w:w="90" w:type="dxa"/>
            </w:tcMar>
            <w:shd w:fill="17365D"/>
          </w:tcPr>
          <w:p>
            <w:pPr>
              <w:spacing w:after="0" w:line="240" w:lineRule="auto"/>
            </w:pPr>
            <w:r>
              <w:rPr>
                <w:rFonts w:ascii="Arial" w:hAnsi="Arial"/>
                <w:b/>
                <w:color w:val="FFFFFF"/>
                <w:sz w:val="18"/>
              </w:rPr>
              <w:t>Action</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Add verified specialist data</w:t>
            </w:r>
          </w:p>
        </w:tc>
        <w:tc>
          <w:tcPr>
            <w:tcW w:type="dxa" w:w="7272"/>
            <w:vAlign w:val="center"/>
            <w:tcMar>
              <w:top w:w="90" w:type="dxa"/>
              <w:start w:w="90" w:type="dxa"/>
              <w:bottom w:w="90" w:type="dxa"/>
              <w:end w:w="90" w:type="dxa"/>
            </w:tcMar>
          </w:tcPr>
          <w:p>
            <w:pPr>
              <w:spacing w:after="0" w:line="240" w:lineRule="auto"/>
            </w:pPr>
            <w:r>
              <w:rPr>
                <w:rFonts w:ascii="Arial" w:hAnsi="Arial"/>
                <w:sz w:val="18"/>
              </w:rPr>
              <w:t>Prepare override workbooks for banks and insurers before comparing them with general companies.</w:t>
            </w:r>
          </w:p>
        </w:tc>
      </w:tr>
      <w:tr>
        <w:tc>
          <w:tcPr>
            <w:tcW w:type="dxa" w:w="2520"/>
            <w:vAlign w:val="center"/>
            <w:tcMar>
              <w:top w:w="90" w:type="dxa"/>
              <w:start w:w="90" w:type="dxa"/>
              <w:bottom w:w="90" w:type="dxa"/>
              <w:end w:w="90" w:type="dxa"/>
            </w:tcMar>
            <w:shd w:fill="EAF3F8"/>
          </w:tcPr>
          <w:p>
            <w:pPr>
              <w:spacing w:after="0" w:line="240" w:lineRule="auto"/>
            </w:pPr>
            <w:r>
              <w:rPr>
                <w:rFonts w:ascii="Arial" w:hAnsi="Arial"/>
                <w:sz w:val="18"/>
              </w:rPr>
              <w:t>Build a true point-in-time feed</w:t>
            </w:r>
          </w:p>
        </w:tc>
        <w:tc>
          <w:tcPr>
            <w:tcW w:type="dxa" w:w="7272"/>
            <w:vAlign w:val="center"/>
            <w:tcMar>
              <w:top w:w="90" w:type="dxa"/>
              <w:start w:w="90" w:type="dxa"/>
              <w:bottom w:w="90" w:type="dxa"/>
              <w:end w:w="90" w:type="dxa"/>
            </w:tcMar>
            <w:shd w:fill="EAF3F8"/>
          </w:tcPr>
          <w:p>
            <w:pPr>
              <w:spacing w:after="0" w:line="240" w:lineRule="auto"/>
            </w:pPr>
            <w:r>
              <w:rPr>
                <w:rFonts w:ascii="Arial" w:hAnsi="Arial"/>
                <w:sz w:val="18"/>
              </w:rPr>
              <w:t>Use SEC and local-regulator filing timestamps so each historical run includes only information publicly available on that date.</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Expand the time series</w:t>
            </w:r>
          </w:p>
        </w:tc>
        <w:tc>
          <w:tcPr>
            <w:tcW w:type="dxa" w:w="7272"/>
            <w:vAlign w:val="center"/>
            <w:tcMar>
              <w:top w:w="90" w:type="dxa"/>
              <w:start w:w="90" w:type="dxa"/>
              <w:bottom w:w="90" w:type="dxa"/>
              <w:end w:w="90" w:type="dxa"/>
            </w:tcMar>
          </w:tcPr>
          <w:p>
            <w:pPr>
              <w:spacing w:after="0" w:line="240" w:lineRule="auto"/>
            </w:pPr>
            <w:r>
              <w:rPr>
                <w:rFonts w:ascii="Arial" w:hAnsi="Arial"/>
                <w:sz w:val="18"/>
              </w:rPr>
              <w:t>Repeat the test at monthly or quarterly starting dates over at least five years and evaluate rolling one-, three-, six-, and twelve-month outcomes.</w:t>
            </w:r>
          </w:p>
        </w:tc>
      </w:tr>
      <w:tr>
        <w:tc>
          <w:tcPr>
            <w:tcW w:type="dxa" w:w="2520"/>
            <w:vAlign w:val="center"/>
            <w:tcMar>
              <w:top w:w="90" w:type="dxa"/>
              <w:start w:w="90" w:type="dxa"/>
              <w:bottom w:w="90" w:type="dxa"/>
              <w:end w:w="90" w:type="dxa"/>
            </w:tcMar>
            <w:shd w:fill="EAF3F8"/>
          </w:tcPr>
          <w:p>
            <w:pPr>
              <w:spacing w:after="0" w:line="240" w:lineRule="auto"/>
            </w:pPr>
            <w:r>
              <w:rPr>
                <w:rFonts w:ascii="Arial" w:hAnsi="Arial"/>
                <w:sz w:val="18"/>
              </w:rPr>
              <w:t>Use sector-aware comparisons</w:t>
            </w:r>
          </w:p>
        </w:tc>
        <w:tc>
          <w:tcPr>
            <w:tcW w:type="dxa" w:w="7272"/>
            <w:vAlign w:val="center"/>
            <w:tcMar>
              <w:top w:w="90" w:type="dxa"/>
              <w:start w:w="90" w:type="dxa"/>
              <w:bottom w:w="90" w:type="dxa"/>
              <w:end w:w="90" w:type="dxa"/>
            </w:tcMar>
            <w:shd w:fill="EAF3F8"/>
          </w:tcPr>
          <w:p>
            <w:pPr>
              <w:spacing w:after="0" w:line="240" w:lineRule="auto"/>
            </w:pPr>
            <w:r>
              <w:rPr>
                <w:rFonts w:ascii="Arial" w:hAnsi="Arial"/>
                <w:sz w:val="18"/>
              </w:rPr>
              <w:t>Compare ranks within the same scorecard and sector before interpreting absolute score differences.</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Pre-register evaluation rules</w:t>
            </w:r>
          </w:p>
        </w:tc>
        <w:tc>
          <w:tcPr>
            <w:tcW w:type="dxa" w:w="7272"/>
            <w:vAlign w:val="center"/>
            <w:tcMar>
              <w:top w:w="90" w:type="dxa"/>
              <w:start w:w="90" w:type="dxa"/>
              <w:bottom w:w="90" w:type="dxa"/>
              <w:end w:w="90" w:type="dxa"/>
            </w:tcMar>
          </w:tcPr>
          <w:p>
            <w:pPr>
              <w:spacing w:after="0" w:line="240" w:lineRule="auto"/>
            </w:pPr>
            <w:r>
              <w:rPr>
                <w:rFonts w:ascii="Arial" w:hAnsi="Arial"/>
                <w:sz w:val="18"/>
              </w:rPr>
              <w:t>Choose the universe, horizons, benchmark, and success metrics before running the next test to reduce selection bias.</w:t>
            </w:r>
          </w:p>
        </w:tc>
      </w:tr>
      <w:tr>
        <w:tc>
          <w:tcPr>
            <w:tcW w:type="dxa" w:w="2520"/>
            <w:vAlign w:val="center"/>
            <w:tcMar>
              <w:top w:w="90" w:type="dxa"/>
              <w:start w:w="90" w:type="dxa"/>
              <w:bottom w:w="90" w:type="dxa"/>
              <w:end w:w="90" w:type="dxa"/>
            </w:tcMar>
            <w:shd w:fill="EAF3F8"/>
          </w:tcPr>
          <w:p>
            <w:pPr>
              <w:spacing w:after="0" w:line="240" w:lineRule="auto"/>
            </w:pPr>
            <w:r>
              <w:rPr>
                <w:rFonts w:ascii="Arial" w:hAnsi="Arial"/>
                <w:sz w:val="18"/>
              </w:rPr>
              <w:t>Validate the memory scorecard</w:t>
            </w:r>
          </w:p>
        </w:tc>
        <w:tc>
          <w:tcPr>
            <w:tcW w:type="dxa" w:w="7272"/>
            <w:vAlign w:val="center"/>
            <w:tcMar>
              <w:top w:w="90" w:type="dxa"/>
              <w:start w:w="90" w:type="dxa"/>
              <w:bottom w:w="90" w:type="dxa"/>
              <w:end w:w="90" w:type="dxa"/>
            </w:tcMar>
            <w:shd w:fill="EAF3F8"/>
          </w:tcPr>
          <w:p>
            <w:pPr>
              <w:spacing w:after="0" w:line="240" w:lineRule="auto"/>
            </w:pPr>
            <w:r>
              <w:rPr>
                <w:rFonts w:ascii="Arial" w:hAnsi="Arial"/>
                <w:sz w:val="18"/>
              </w:rPr>
              <w:t>Freeze the new specification and test it across at least two prior DRAM upturns, one downturn, and future unseen periods.</w:t>
            </w:r>
          </w:p>
        </w:tc>
      </w:tr>
    </w:tbl>
    <w:p>
      <w:pPr>
        <w:pStyle w:val="Heading1"/>
      </w:pPr>
      <w:r>
        <w:t>Replication</w:t>
      </w:r>
    </w:p>
    <w:p>
      <w:r>
        <w:t>Install the repository using install_windows.bat, then run the command below from the repository folder. The included universe file contains all 18 tickers. Frozen input snapshots and the resulting CSV and JSON files accompany this report for auditability.</w:t>
      </w:r>
    </w:p>
    <w:p>
      <w:pPr>
        <w:ind w:left="360"/>
      </w:pPr>
      <w:r>
        <w:rPr>
          <w:rFonts w:ascii="Consolas" w:hAnsi="Consolas"/>
          <w:sz w:val="19"/>
        </w:rPr>
        <w:t>wharton backtest --start 2026-03-20 --end 2026-09-18</w:t>
      </w:r>
    </w:p>
    <w:p>
      <w:r>
        <w:t>To reproduce the score from an existing snapshot without downloading new scoring inputs, place the frozen snapshots in the selected output folder and add --reuse-snapshots. Market-data providers can revise historical datasets, so the frozen results should remain the audit record.</w:t>
      </w:r>
    </w:p>
    <w:p>
      <w:pPr>
        <w:ind w:left="360"/>
      </w:pPr>
      <w:r>
        <w:rPr>
          <w:rFonts w:ascii="Consolas" w:hAnsi="Consolas"/>
          <w:sz w:val="17"/>
        </w:rPr>
        <w:t>wharton backtest --universe config/enhanced_backtest_universe.csv --start 2026-03-20 --end 2026-09-18</w:t>
      </w:r>
    </w:p>
    <w:p>
      <w:pPr>
        <w:ind w:left="360"/>
      </w:pPr>
      <w:r>
        <w:rPr>
          <w:rFonts w:ascii="Consolas" w:hAnsi="Consolas"/>
          <w:sz w:val="17"/>
        </w:rPr>
        <w:t>wharton backtest --universe config/semiconductor_backtest_universe.csv --start 2026-03-20 --end 2026-09-18</w:t>
      </w:r>
    </w:p>
    <w:p>
      <w:pPr>
        <w:pStyle w:val="Heading1"/>
      </w:pPr>
      <w:r>
        <w:t>Conclusion</w:t>
      </w:r>
    </w:p>
    <w:p>
      <w:r>
        <w:t>The broad test supports keeping the model as a disciplined research framework, and the semiconductor diagnostic shows why cyclical industries need structurally appropriate factors. Neither result proves reliable return forecasting. The team's best next move is to freeze this specification, add true point-in-time filing data and verified specialist metrics, and repeat the tests across many unseen dates before using scores as a central portfolio decision rule.</w:t>
      </w:r>
    </w:p>
    <w:p>
      <w:pPr>
        <w:pStyle w:val="Heading1"/>
      </w:pPr>
      <w:r>
        <w:t>Data sources</w:t>
      </w:r>
    </w:p>
    <w:p>
      <w:r>
        <w:t>Yahoo Finance historical prices, adjusted prices, corporate actions, benchmark series, FX series, and available financial statements: https://finance.yahoo.com</w:t>
      </w:r>
    </w:p>
    <w:p>
      <w:r>
        <w:t>TrendForce, 2 February 2026, DRAM and NAND Flash contract-price forecast used as the dated memory-cycle override: https://www.trendforce.com/presscenter/news/20260202-12911.html</w:t>
      </w:r>
    </w:p>
    <w:p>
      <w:r>
        <w:t>Micron Technology investor relations, 18 March 2026, fiscal Q2 2026 prepared remarks used as qualitative cycle-context validation: https://investors.micron.com/static-files/e089f8c0-065d-47b8-9d02-bfa863cdb357</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Sleeve Scoring Model Backtest and Semiconductor Cycle Analysis</dc:title>
  <dc:subject>Retrospective model evaluation and replication guide</dc:subject>
  <dc:creator>Wharton Global High School Investment Competition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