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C1E34"/>
          <w:sz w:val="40"/>
        </w:rPr>
        <w:t xml:space="preserve">Country Profile: </w:t>
      </w:r>
      <w:r>
        <w:rPr>
          <w:b w:val="0"/>
          <w:color w:val="DC1E34"/>
          <w:sz w:val="40"/>
        </w:rPr>
        <w:t>India</w:t>
      </w:r>
    </w:p>
    <w:p>
      <w:r>
        <w:drawing>
          <wp:inline xmlns:a="http://schemas.openxmlformats.org/drawingml/2006/main" xmlns:pic="http://schemas.openxmlformats.org/drawingml/2006/picture">
            <wp:extent cx="6188710" cy="3482119"/>
            <wp:docPr id="1" name="Picture 1"/>
            <wp:cNvGraphicFramePr>
              <a:graphicFrameLocks noChangeAspect="1"/>
            </wp:cNvGraphicFramePr>
            <a:graphic>
              <a:graphicData uri="http://schemas.openxmlformats.org/drawingml/2006/picture">
                <pic:pic>
                  <pic:nvPicPr>
                    <pic:cNvPr id="0" name="India.jpg"/>
                    <pic:cNvPicPr/>
                  </pic:nvPicPr>
                  <pic:blipFill>
                    <a:blip r:embed="rId10"/>
                    <a:stretch>
                      <a:fillRect/>
                    </a:stretch>
                  </pic:blipFill>
                  <pic:spPr>
                    <a:xfrm>
                      <a:off x="0" y="0"/>
                      <a:ext cx="6188710" cy="3482119"/>
                    </a:xfrm>
                    <a:prstGeom prst="rect"/>
                  </pic:spPr>
                </pic:pic>
              </a:graphicData>
            </a:graphic>
          </wp:inline>
        </w:drawing>
      </w:r>
    </w:p>
    <w:p>
      <w:pPr>
        <w:spacing w:before="240" w:after="280"/>
      </w:pPr>
      <w:r>
        <w:rPr>
          <w:color w:val="DC1E34"/>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2</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2</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3</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3</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4</w:t>
      </w:r>
      <w:r>
        <w:fldChar w:fldCharType="end"/>
      </w:r>
    </w:p>
    <w:p>
      <w:pPr>
        <w:tabs>
          <w:tab w:pos="9746" w:val="right" w:leader="dot"/>
        </w:tabs>
        <w:spacing w:after="120" w:before="160"/>
        <w:ind w:left="0"/>
      </w:pPr>
      <w:hyperlink w:anchor="_sec6">
        <w:r>
          <w:rPr>
            <w:b/>
          </w:rPr>
          <w:t xml:space="preserve">India Health System</w:t>
        </w:r>
      </w:hyperlink>
      <w:r>
        <w:tab/>
      </w:r>
      <w:r>
        <w:fldChar w:fldCharType="begin"/>
      </w:r>
      <w:r>
        <w:instrText xml:space="preserve"> PAGEREF _sec6 \h </w:instrText>
      </w:r>
      <w:r>
        <w:fldChar w:fldCharType="separate"/>
      </w:r>
      <w:r>
        <w:t>5</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5</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5</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6</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7</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8</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8</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8</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13</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15</w:t>
      </w:r>
      <w:r>
        <w:fldChar w:fldCharType="end"/>
      </w:r>
    </w:p>
    <w:p>
      <w:pPr>
        <w:pStyle w:val="Heading1"/>
        <w:keepNext/>
        <w:pageBreakBefore/>
      </w:pPr>
      <w:bookmarkStart w:id="1" w:name="_sec1"/>
      <w:r>
        <w:rPr>
          <w:color w:val="DC1E34"/>
        </w:rPr>
        <w:t>Country Overview</w:t>
      </w:r>
      <w:bookmarkEnd w:id="1"/>
    </w:p>
    <w:p>
      <w:pPr>
        <w:spacing w:before="0" w:after="80"/>
        <w:keepNext/>
        <w:pBdr>
          <w:bottom w:val="single" w:sz="12" w:space="1" w:color="DC1E34"/>
        </w:pBdr>
      </w:pPr>
    </w:p>
    <w:p>
      <w:pPr>
        <w:pStyle w:val="Heading2"/>
        <w:keepNext/>
      </w:pPr>
      <w:bookmarkStart w:id="2" w:name="_sec2"/>
      <w:r>
        <w:rPr>
          <w:color w:val="DC1E34"/>
        </w:rP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spacing w:after="60"/>
            </w:pPr>
            <w:r>
              <w:rPr>
                <w:b/>
                <w:color w:val="DC1E34"/>
                <w:sz w:val="21"/>
              </w:rPr>
              <w:t>Capital</w:t>
            </w:r>
          </w:p>
        </w:tc>
        <w:tc>
          <w:tcPr>
            <w:tcW w:type="dxa" w:w="2436"/>
          </w:tcPr>
          <w:p>
            <w:pPr>
              <w:spacing w:after="60"/>
            </w:pPr>
            <w:r>
              <w:rPr>
                <w:sz w:val="21"/>
              </w:rPr>
              <w:t>New Delhi</w:t>
            </w:r>
            <w:hyperlink r:id="rId11">
              <w:r>
                <w:rPr>
                  <w:color w:val="DC1E34"/>
                  <w:vertAlign w:val="superscript"/>
                </w:rPr>
                <w:t xml:space="preserve">1</w:t>
              </w:r>
            </w:hyperlink>
          </w:p>
        </w:tc>
        <w:tc>
          <w:tcPr>
            <w:tcW w:type="dxa" w:w="2436"/>
          </w:tcPr>
          <w:p>
            <w:pPr>
              <w:spacing w:after="60"/>
            </w:pPr>
            <w:r>
              <w:rPr>
                <w:b/>
                <w:color w:val="DC1E34"/>
                <w:sz w:val="21"/>
              </w:rPr>
              <w:t>Official languages</w:t>
            </w:r>
          </w:p>
        </w:tc>
        <w:tc>
          <w:tcPr>
            <w:tcW w:type="dxa" w:w="2436"/>
          </w:tcPr>
          <w:p>
            <w:pPr>
              <w:spacing w:after="60"/>
            </w:pPr>
            <w:r>
              <w:rPr>
                <w:sz w:val="21"/>
              </w:rPr>
              <w:t>Hindi and English</w:t>
            </w:r>
            <w:hyperlink r:id="rId11">
              <w:r>
                <w:rPr>
                  <w:color w:val="DC1E34"/>
                  <w:vertAlign w:val="superscript"/>
                </w:rPr>
                <w:t xml:space="preserve">1,</w:t>
              </w:r>
            </w:hyperlink>
            <w:hyperlink r:id="rId12">
              <w:r>
                <w:rPr>
                  <w:color w:val="DC1E34"/>
                  <w:vertAlign w:val="superscript"/>
                </w:rPr>
                <w:t xml:space="preserve">2</w:t>
              </w:r>
            </w:hyperlink>
          </w:p>
        </w:tc>
      </w:tr>
      <w:tr>
        <w:trPr>
          <w:cantSplit/>
        </w:trPr>
        <w:tc>
          <w:tcPr>
            <w:tcW w:type="dxa" w:w="2436"/>
          </w:tcPr>
          <w:p>
            <w:pPr>
              <w:spacing w:after="60"/>
            </w:pPr>
            <w:r>
              <w:rPr>
                <w:b/>
                <w:color w:val="DC1E34"/>
                <w:sz w:val="21"/>
              </w:rPr>
              <w:t>Population</w:t>
            </w:r>
          </w:p>
        </w:tc>
        <w:tc>
          <w:tcPr>
            <w:tcW w:type="dxa" w:w="2436"/>
          </w:tcPr>
          <w:p>
            <w:pPr>
              <w:spacing w:after="60"/>
            </w:pPr>
            <w:r>
              <w:rPr>
                <w:sz w:val="21"/>
              </w:rPr>
              <w:t>About 1.46 billion (2025 estimate)</w:t>
            </w:r>
            <w:hyperlink r:id="rId13">
              <w:r>
                <w:rPr>
                  <w:color w:val="DC1E34"/>
                  <w:vertAlign w:val="superscript"/>
                </w:rPr>
                <w:t xml:space="preserve">3,</w:t>
              </w:r>
            </w:hyperlink>
            <w:hyperlink r:id="rId14">
              <w:r>
                <w:rPr>
                  <w:color w:val="DC1E34"/>
                  <w:vertAlign w:val="superscript"/>
                </w:rPr>
                <w:t xml:space="preserve">4</w:t>
              </w:r>
            </w:hyperlink>
          </w:p>
        </w:tc>
        <w:tc>
          <w:tcPr>
            <w:tcW w:type="dxa" w:w="2436"/>
          </w:tcPr>
          <w:p>
            <w:pPr>
              <w:spacing w:after="60"/>
            </w:pPr>
            <w:r>
              <w:rPr>
                <w:b/>
                <w:color w:val="DC1E34"/>
                <w:sz w:val="21"/>
              </w:rPr>
              <w:t>Area</w:t>
            </w:r>
          </w:p>
        </w:tc>
        <w:tc>
          <w:tcPr>
            <w:tcW w:type="dxa" w:w="2436"/>
          </w:tcPr>
          <w:p>
            <w:pPr>
              <w:spacing w:after="60"/>
            </w:pPr>
            <w:r>
              <w:rPr>
                <w:sz w:val="21"/>
              </w:rPr>
              <w:t>3,287,263 sq km</w:t>
            </w:r>
            <w:hyperlink r:id="rId11">
              <w:r>
                <w:rPr>
                  <w:color w:val="DC1E34"/>
                  <w:vertAlign w:val="superscript"/>
                </w:rPr>
                <w:t xml:space="preserve">1</w:t>
              </w:r>
            </w:hyperlink>
          </w:p>
        </w:tc>
      </w:tr>
      <w:tr>
        <w:trPr>
          <w:cantSplit/>
        </w:trPr>
        <w:tc>
          <w:tcPr>
            <w:tcW w:type="dxa" w:w="2436"/>
          </w:tcPr>
          <w:p>
            <w:pPr>
              <w:spacing w:after="60"/>
            </w:pPr>
            <w:r>
              <w:rPr>
                <w:b/>
                <w:color w:val="DC1E34"/>
                <w:sz w:val="21"/>
              </w:rPr>
              <w:t>GDP (PPP), total</w:t>
            </w:r>
          </w:p>
        </w:tc>
        <w:tc>
          <w:tcPr>
            <w:tcW w:type="dxa" w:w="2436"/>
          </w:tcPr>
          <w:p>
            <w:pPr>
              <w:spacing w:after="60"/>
            </w:pPr>
            <w:r>
              <w:rPr>
                <w:sz w:val="21"/>
              </w:rPr>
              <w:t>About US$17.2 trillion in current international dollars (2025, World Bank); about US$15.6 trillion in 2024</w:t>
            </w:r>
            <w:hyperlink r:id="rId15">
              <w:r>
                <w:rPr>
                  <w:color w:val="DC1E34"/>
                  <w:vertAlign w:val="superscript"/>
                </w:rPr>
                <w:t xml:space="preserve">5,</w:t>
              </w:r>
            </w:hyperlink>
            <w:hyperlink r:id="rId16">
              <w:r>
                <w:rPr>
                  <w:color w:val="DC1E34"/>
                  <w:vertAlign w:val="superscript"/>
                </w:rPr>
                <w:t xml:space="preserve">6</w:t>
              </w:r>
            </w:hyperlink>
          </w:p>
        </w:tc>
        <w:tc>
          <w:tcPr>
            <w:tcW w:type="dxa" w:w="2436"/>
          </w:tcPr>
          <w:p>
            <w:pPr>
              <w:spacing w:after="60"/>
            </w:pPr>
            <w:r>
              <w:rPr>
                <w:b/>
                <w:color w:val="DC1E34"/>
                <w:sz w:val="21"/>
              </w:rPr>
              <w:t>GDP (PPP), per capita</w:t>
            </w:r>
          </w:p>
        </w:tc>
        <w:tc>
          <w:tcPr>
            <w:tcW w:type="dxa" w:w="2436"/>
          </w:tcPr>
          <w:p>
            <w:pPr>
              <w:spacing w:after="60"/>
            </w:pPr>
            <w:r>
              <w:rPr>
                <w:sz w:val="21"/>
              </w:rPr>
              <w:t>About US$11,748 in current international dollars (2025, World Bank); about US$10,719 in 2024</w:t>
            </w:r>
            <w:hyperlink r:id="rId16">
              <w:r>
                <w:rPr>
                  <w:color w:val="DC1E34"/>
                  <w:vertAlign w:val="superscript"/>
                </w:rPr>
                <w:t xml:space="preserve">6,</w:t>
              </w:r>
            </w:hyperlink>
            <w:hyperlink r:id="rId17">
              <w:r>
                <w:rPr>
                  <w:color w:val="DC1E34"/>
                  <w:vertAlign w:val="superscript"/>
                </w:rPr>
                <w:t xml:space="preserve">7</w:t>
              </w:r>
            </w:hyperlink>
          </w:p>
        </w:tc>
      </w:tr>
      <w:tr>
        <w:trPr>
          <w:cantSplit/>
        </w:trPr>
        <w:tc>
          <w:tcPr>
            <w:tcW w:type="dxa" w:w="2436"/>
          </w:tcPr>
          <w:p>
            <w:pPr>
              <w:spacing w:after="60"/>
            </w:pPr>
            <w:r>
              <w:rPr>
                <w:b/>
                <w:color w:val="DC1E34"/>
                <w:sz w:val="21"/>
              </w:rPr>
              <w:t>Government type</w:t>
            </w:r>
          </w:p>
        </w:tc>
        <w:tc>
          <w:tcPr>
            <w:tcW w:type="dxa" w:w="2436"/>
          </w:tcPr>
          <w:p>
            <w:pPr>
              <w:spacing w:after="60"/>
            </w:pPr>
            <w:r>
              <w:rPr>
                <w:sz w:val="21"/>
              </w:rPr>
              <w:t>Federal parliamentary democratic republic</w:t>
            </w:r>
            <w:hyperlink r:id="rId11">
              <w:r>
                <w:rPr>
                  <w:color w:val="DC1E34"/>
                  <w:vertAlign w:val="superscript"/>
                </w:rPr>
                <w:t xml:space="preserve">1,</w:t>
              </w:r>
            </w:hyperlink>
            <w:hyperlink r:id="rId12">
              <w:r>
                <w:rPr>
                  <w:color w:val="DC1E34"/>
                  <w:vertAlign w:val="superscript"/>
                </w:rPr>
                <w:t xml:space="preserve">2</w:t>
              </w:r>
            </w:hyperlink>
          </w:p>
        </w:tc>
        <w:tc>
          <w:tcPr>
            <w:tcW w:type="dxa" w:w="2436"/>
          </w:tcPr>
          <w:p>
            <w:pPr>
              <w:spacing w:after="60"/>
            </w:pPr>
            <w:r>
              <w:rPr>
                <w:b/>
                <w:color w:val="DC1E34"/>
                <w:sz w:val="21"/>
              </w:rPr>
              <w:t>Head of state</w:t>
            </w:r>
          </w:p>
        </w:tc>
        <w:tc>
          <w:tcPr>
            <w:tcW w:type="dxa" w:w="2436"/>
          </w:tcPr>
          <w:p>
            <w:pPr>
              <w:spacing w:after="60"/>
            </w:pPr>
            <w:r>
              <w:rPr>
                <w:sz w:val="21"/>
              </w:rPr>
              <w:t>President Droupadi Murmu (sworn in on 25 July 2022)</w:t>
            </w:r>
            <w:hyperlink r:id="rId18">
              <w:r>
                <w:rPr>
                  <w:color w:val="DC1E34"/>
                  <w:vertAlign w:val="superscript"/>
                </w:rPr>
                <w:t xml:space="preserve">8</w:t>
              </w:r>
            </w:hyperlink>
          </w:p>
        </w:tc>
      </w:tr>
      <w:tr>
        <w:trPr>
          <w:cantSplit/>
        </w:trPr>
        <w:tc>
          <w:tcPr>
            <w:tcW w:type="dxa" w:w="2436"/>
          </w:tcPr>
          <w:p>
            <w:pPr>
              <w:spacing w:after="60"/>
            </w:pPr>
            <w:r>
              <w:rPr>
                <w:b/>
                <w:color w:val="DC1E34"/>
                <w:sz w:val="21"/>
              </w:rPr>
              <w:t>Head of government</w:t>
            </w:r>
          </w:p>
        </w:tc>
        <w:tc>
          <w:tcPr>
            <w:tcW w:type="dxa" w:w="2436"/>
          </w:tcPr>
          <w:p>
            <w:pPr>
              <w:spacing w:after="60"/>
            </w:pPr>
            <w:r>
              <w:rPr>
                <w:sz w:val="21"/>
              </w:rPr>
              <w:t>Prime Minister Narendra Modi (in office since 2014; sworn in for a third term on 9 June 2024)</w:t>
            </w:r>
            <w:hyperlink r:id="rId19">
              <w:r>
                <w:rPr>
                  <w:color w:val="DC1E34"/>
                  <w:vertAlign w:val="superscript"/>
                </w:rPr>
                <w:t xml:space="preserve">9</w:t>
              </w:r>
            </w:hyperlink>
          </w:p>
        </w:tc>
        <w:tc>
          <w:tcPr>
            <w:tcW w:type="dxa" w:w="2436"/>
          </w:tcPr>
          <w:p>
            <w:pPr>
              <w:spacing w:after="60"/>
            </w:pPr>
            <w:r>
              <w:rPr>
                <w:b/>
                <w:color w:val="DC1E34"/>
                <w:sz w:val="21"/>
              </w:rPr>
              <w:t>Currency</w:t>
            </w:r>
          </w:p>
        </w:tc>
        <w:tc>
          <w:tcPr>
            <w:tcW w:type="dxa" w:w="2436"/>
          </w:tcPr>
          <w:p>
            <w:pPr>
              <w:spacing w:after="60"/>
            </w:pPr>
            <w:r>
              <w:rPr>
                <w:sz w:val="21"/>
              </w:rPr>
              <w:t>Indian rupee (INR)</w:t>
            </w:r>
            <w:hyperlink r:id="rId20">
              <w:r>
                <w:rPr>
                  <w:color w:val="DC1E34"/>
                  <w:vertAlign w:val="superscript"/>
                </w:rPr>
                <w:t xml:space="preserve">10</w:t>
              </w:r>
            </w:hyperlink>
          </w:p>
        </w:tc>
      </w:tr>
      <w:tr>
        <w:trPr>
          <w:cantSplit/>
        </w:trPr>
        <w:tc>
          <w:tcPr>
            <w:tcW w:type="dxa" w:w="2436"/>
          </w:tcPr>
          <w:p>
            <w:pPr>
              <w:spacing w:after="60"/>
            </w:pPr>
            <w:r>
              <w:rPr>
                <w:b/>
                <w:color w:val="DC1E34"/>
                <w:sz w:val="21"/>
              </w:rPr>
              <w:t>Urban population</w:t>
            </w:r>
          </w:p>
        </w:tc>
        <w:tc>
          <w:tcPr>
            <w:tcW w:type="dxa" w:w="2436"/>
          </w:tcPr>
          <w:p>
            <w:pPr>
              <w:spacing w:after="60"/>
            </w:pPr>
            <w:r>
              <w:rPr>
                <w:sz w:val="21"/>
              </w:rPr>
              <w:t>35.7% of total (2025, World Bank); 35.4% in 2024</w:t>
            </w:r>
            <w:hyperlink r:id="rId16">
              <w:r>
                <w:rPr>
                  <w:color w:val="DC1E34"/>
                  <w:vertAlign w:val="superscript"/>
                </w:rPr>
                <w:t xml:space="preserve">6,</w:t>
              </w:r>
            </w:hyperlink>
            <w:hyperlink r:id="rId21">
              <w:r>
                <w:rPr>
                  <w:color w:val="DC1E34"/>
                  <w:vertAlign w:val="superscript"/>
                </w:rPr>
                <w:t xml:space="preserve">11</w:t>
              </w:r>
            </w:hyperlink>
          </w:p>
        </w:tc>
        <w:tc>
          <w:tcPr>
            <w:tcW w:type="dxa" w:w="2436"/>
          </w:tcPr>
          <w:p>
            <w:pPr>
              <w:spacing w:after="60"/>
            </w:pPr>
            <w:r>
              <w:rPr>
                <w:b/>
                <w:color w:val="DC1E34"/>
                <w:sz w:val="21"/>
              </w:rPr>
              <w:t>Total fertility rate</w:t>
            </w:r>
          </w:p>
        </w:tc>
        <w:tc>
          <w:tcPr>
            <w:tcW w:type="dxa" w:w="2436"/>
          </w:tcPr>
          <w:p>
            <w:pPr>
              <w:spacing w:after="60"/>
            </w:pPr>
            <w:r>
              <w:rPr>
                <w:sz w:val="21"/>
              </w:rPr>
              <w:t>1.9 births per woman (2024, Sample Registration System Statistical Report 2024, released May 2026)</w:t>
            </w:r>
            <w:hyperlink r:id="rId22">
              <w:r>
                <w:rPr>
                  <w:color w:val="DC1E34"/>
                  <w:vertAlign w:val="superscript"/>
                </w:rPr>
                <w:t xml:space="preserve">12,</w:t>
              </w:r>
            </w:hyperlink>
            <w:hyperlink r:id="rId23">
              <w:r>
                <w:rPr>
                  <w:color w:val="DC1E34"/>
                  <w:vertAlign w:val="superscript"/>
                </w:rPr>
                <w:t xml:space="preserve">13,</w:t>
              </w:r>
            </w:hyperlink>
            <w:hyperlink r:id="rId24">
              <w:r>
                <w:rPr>
                  <w:color w:val="DC1E34"/>
                  <w:vertAlign w:val="superscript"/>
                </w:rPr>
                <w:t xml:space="preserve">14</w:t>
              </w:r>
            </w:hyperlink>
          </w:p>
        </w:tc>
      </w:tr>
      <w:tr>
        <w:trPr>
          <w:cantSplit/>
        </w:trPr>
        <w:tc>
          <w:tcPr>
            <w:tcW w:type="dxa" w:w="2436"/>
          </w:tcPr>
          <w:p>
            <w:pPr>
              <w:spacing w:after="60"/>
            </w:pPr>
            <w:r>
              <w:rPr>
                <w:b/>
                <w:color w:val="DC1E34"/>
                <w:sz w:val="21"/>
              </w:rPr>
              <w:t>Infant mortality rate</w:t>
            </w:r>
          </w:p>
        </w:tc>
        <w:tc>
          <w:tcPr>
            <w:tcW w:type="dxa" w:w="2436"/>
          </w:tcPr>
          <w:p>
            <w:pPr>
              <w:spacing w:after="60"/>
            </w:pPr>
            <w:r>
              <w:rPr>
                <w:sz w:val="21"/>
              </w:rPr>
              <w:t>24 per 1,000 live births (2024, Sample Registration System), down from 30 in 2019</w:t>
            </w:r>
            <w:hyperlink r:id="rId23">
              <w:r>
                <w:rPr>
                  <w:color w:val="DC1E34"/>
                  <w:vertAlign w:val="superscript"/>
                </w:rPr>
                <w:t xml:space="preserve">13</w:t>
              </w:r>
            </w:hyperlink>
          </w:p>
        </w:tc>
        <w:tc>
          <w:tcPr>
            <w:tcW w:type="dxa" w:w="2436"/>
          </w:tcPr>
          <w:p>
            <w:pPr>
              <w:spacing w:after="60"/>
            </w:pPr>
            <w:r>
              <w:rPr>
                <w:b/>
                <w:color w:val="DC1E34"/>
                <w:sz w:val="21"/>
              </w:rPr>
              <w:t>Population aged 60 and over</w:t>
            </w:r>
          </w:p>
        </w:tc>
        <w:tc>
          <w:tcPr>
            <w:tcW w:type="dxa" w:w="2436"/>
          </w:tcPr>
          <w:p>
            <w:pPr>
              <w:spacing w:after="60"/>
            </w:pPr>
            <w:r>
              <w:rPr>
                <w:sz w:val="21"/>
              </w:rPr>
              <w:t>10.5% (2022), projected to reach 20.8% by 2050 (UNFPA India Ageing Report 2023)</w:t>
            </w:r>
            <w:hyperlink r:id="rId25">
              <w:r>
                <w:rPr>
                  <w:color w:val="DC1E34"/>
                  <w:vertAlign w:val="superscript"/>
                </w:rPr>
                <w:t xml:space="preserve">15,</w:t>
              </w:r>
            </w:hyperlink>
            <w:hyperlink r:id="rId26">
              <w:r>
                <w:rPr>
                  <w:color w:val="DC1E34"/>
                  <w:vertAlign w:val="superscript"/>
                </w:rPr>
                <w:t xml:space="preserve">16</w:t>
              </w:r>
            </w:hyperlink>
          </w:p>
        </w:tc>
      </w:tr>
    </w:tbl>
    <w:p>
      <w:pPr>
        <w:keepNext/>
        <w:spacing w:after="40"/>
      </w:pPr>
    </w:p>
    <w:p>
      <w:r>
        <w:t>India's population was about 1.46 billion in 2025, and the UN projects a peak of about 1.7 billion in the early 2060s.</w:t>
      </w:r>
      <w:hyperlink r:id="rId13">
        <w:r>
          <w:rPr>
            <w:color w:val="DC1E34"/>
            <w:vertAlign w:val="superscript"/>
          </w:rPr>
          <w:t xml:space="preserve">3,</w:t>
        </w:r>
      </w:hyperlink>
      <w:hyperlink r:id="rId27">
        <w:r>
          <w:rPr>
            <w:color w:val="DC1E34"/>
            <w:vertAlign w:val="superscript"/>
          </w:rPr>
          <w:t xml:space="preserve">17</w:t>
        </w:r>
      </w:hyperlink>
      <w:r>
        <w:t xml:space="preserve"> The Sample Registration System puts the total fertility rate at 1.9 in 2024, below replacement in every state except six in the north: Bihar, Uttar Pradesh, Madhya Pradesh, Rajasthan, Chhattisgarh and Jharkhand.</w:t>
      </w:r>
      <w:hyperlink r:id="rId22">
        <w:r>
          <w:rPr>
            <w:color w:val="DC1E34"/>
            <w:vertAlign w:val="superscript"/>
          </w:rPr>
          <w:t xml:space="preserve">12,</w:t>
        </w:r>
      </w:hyperlink>
      <w:hyperlink r:id="rId23">
        <w:r>
          <w:rPr>
            <w:color w:val="DC1E34"/>
            <w:vertAlign w:val="superscript"/>
          </w:rPr>
          <w:t xml:space="preserve">13,</w:t>
        </w:r>
      </w:hyperlink>
      <w:hyperlink r:id="rId24">
        <w:r>
          <w:rPr>
            <w:color w:val="DC1E34"/>
            <w:vertAlign w:val="superscript"/>
          </w:rPr>
          <w:t xml:space="preserve">14</w:t>
        </w:r>
      </w:hyperlink>
      <w:r>
        <w:t xml:space="preserve"> State rates ranged in 2024 from 2.9 in Bihar to 1.2 in Delhi.</w:t>
      </w:r>
      <w:hyperlink r:id="rId22">
        <w:r>
          <w:rPr>
            <w:color w:val="DC1E34"/>
            <w:vertAlign w:val="superscript"/>
          </w:rPr>
          <w:t xml:space="preserve">12,</w:t>
        </w:r>
      </w:hyperlink>
      <w:hyperlink r:id="rId24">
        <w:r>
          <w:rPr>
            <w:color w:val="DC1E34"/>
            <w:vertAlign w:val="superscript"/>
          </w:rPr>
          <w:t xml:space="preserve">14</w:t>
        </w:r>
      </w:hyperlink>
    </w:p>
    <w:p>
      <w:r>
        <w:t>India therefore has two demographic profiles. UNFPA expects the 60-plus share to pass 20 percent by 2036 in southern states such as Kerala and Tamil Nadu, and nationally to rise from 10.5 percent in 2022 to 20.8 percent by 2050.</w:t>
      </w:r>
      <w:hyperlink r:id="rId25">
        <w:r>
          <w:rPr>
            <w:color w:val="DC1E34"/>
            <w:vertAlign w:val="superscript"/>
          </w:rPr>
          <w:t xml:space="preserve">15,</w:t>
        </w:r>
      </w:hyperlink>
      <w:hyperlink r:id="rId26">
        <w:r>
          <w:rPr>
            <w:color w:val="DC1E34"/>
            <w:vertAlign w:val="superscript"/>
          </w:rPr>
          <w:t xml:space="preserve">16</w:t>
        </w:r>
      </w:hyperlink>
      <w:r>
        <w:t xml:space="preserve"> The northern states remain younger, with heavy maternal and child health needs, although national infant mortality fell to 24 per 1,000 live births in 2024 from 30 in 2019.</w:t>
      </w:r>
      <w:hyperlink r:id="rId23">
        <w:r>
          <w:rPr>
            <w:color w:val="DC1E34"/>
            <w:vertAlign w:val="superscript"/>
          </w:rPr>
          <w:t xml:space="preserve">13</w:t>
        </w:r>
      </w:hyperlink>
    </w:p>
    <w:p>
      <w:r>
        <w:t>The Census of 2027, the first since 2011, began house-listing in April 2026 and will enumerate the population in February 2027.</w:t>
      </w:r>
      <w:hyperlink r:id="rId28">
        <w:r>
          <w:rPr>
            <w:color w:val="DC1E34"/>
            <w:vertAlign w:val="superscript"/>
          </w:rPr>
          <w:t xml:space="preserve">18</w:t>
        </w:r>
      </w:hyperlink>
      <w:r>
        <w:t xml:space="preserve"> For a foreign academic medical center, the aging south and west and the National Capital Region are the most natural markets for high-acuity collaboration, while the younger northern states suit public-health and capacity-building work.</w:t>
      </w:r>
    </w:p>
    <w:p>
      <w:pPr>
        <w:pStyle w:val="Heading2"/>
        <w:keepNext/>
      </w:pPr>
      <w:bookmarkStart w:id="3" w:name="_sec3"/>
      <w:r>
        <w:rPr>
          <w:color w:val="DC1E34"/>
        </w:rPr>
        <w:t>Government</w:t>
      </w:r>
      <w:bookmarkEnd w:id="3"/>
    </w:p>
    <w:p>
      <w:r>
        <w:t>India is a parliamentary democratic republic with a federal structure.</w:t>
      </w:r>
      <w:hyperlink r:id="rId11">
        <w:r>
          <w:rPr>
            <w:color w:val="DC1E34"/>
            <w:vertAlign w:val="superscript"/>
          </w:rPr>
          <w:t xml:space="preserve">1,</w:t>
        </w:r>
      </w:hyperlink>
      <w:hyperlink r:id="rId12">
        <w:r>
          <w:rPr>
            <w:color w:val="DC1E34"/>
            <w:vertAlign w:val="superscript"/>
          </w:rPr>
          <w:t xml:space="preserve">2</w:t>
        </w:r>
      </w:hyperlink>
      <w:r>
        <w:t xml:space="preserve"> The President is head of state, and executive power rests with the Prime Minister and the Council of Ministers, who are collectively responsible to the Lok Sabha.</w:t>
      </w:r>
      <w:hyperlink r:id="rId11">
        <w:r>
          <w:rPr>
            <w:color w:val="DC1E34"/>
            <w:vertAlign w:val="superscript"/>
          </w:rPr>
          <w:t xml:space="preserve">1,</w:t>
        </w:r>
      </w:hyperlink>
      <w:hyperlink r:id="rId12">
        <w:r>
          <w:rPr>
            <w:color w:val="DC1E34"/>
            <w:vertAlign w:val="superscript"/>
          </w:rPr>
          <w:t xml:space="preserve">2</w:t>
        </w:r>
      </w:hyperlink>
    </w:p>
    <w:p>
      <w:r>
        <w:t>Health care delivery is a state responsibility: 'public health and sanitation; hospitals and dispensaries' is Entry 6 of the State List in the Seventh Schedule.</w:t>
      </w:r>
      <w:hyperlink r:id="rId12">
        <w:r>
          <w:rPr>
            <w:color w:val="DC1E34"/>
            <w:vertAlign w:val="superscript"/>
          </w:rPr>
          <w:t xml:space="preserve">2</w:t>
        </w:r>
      </w:hyperlink>
      <w:r>
        <w:t xml:space="preserve"> Medical education sits on the Concurrent List, where Union law prevails in a conflict.</w:t>
      </w:r>
      <w:hyperlink r:id="rId12">
        <w:r>
          <w:rPr>
            <w:color w:val="DC1E34"/>
            <w:vertAlign w:val="superscript"/>
          </w:rPr>
          <w:t xml:space="preserve">2</w:t>
        </w:r>
      </w:hyperlink>
      <w:r>
        <w:t xml:space="preserve"> The Union shapes the system through money and regulation; the Fifteenth Finance Commission, for example, earmarked about Rs 70,051 crore (US$7.39 billion) in health grants through local governments for FY2021-22 to FY2025-26.</w:t>
      </w:r>
      <w:hyperlink r:id="rId29">
        <w:r>
          <w:rPr>
            <w:color w:val="DC1E34"/>
            <w:vertAlign w:val="superscript"/>
          </w:rPr>
          <w:t xml:space="preserve">19</w:t>
        </w:r>
      </w:hyperlink>
      <w:r>
        <w:t xml:space="preserve"> States decide whether to join Union schemes: Odisha and Delhi adopted PM-JAY in 2025, and West Bengal's entry in June 2026 completed nationwide rollout.</w:t>
      </w:r>
      <w:hyperlink r:id="rId30">
        <w:r>
          <w:rPr>
            <w:color w:val="DC1E34"/>
            <w:vertAlign w:val="superscript"/>
          </w:rPr>
          <w:t xml:space="preserve">20,</w:t>
        </w:r>
      </w:hyperlink>
      <w:hyperlink r:id="rId31">
        <w:r>
          <w:rPr>
            <w:color w:val="DC1E34"/>
            <w:vertAlign w:val="superscript"/>
          </w:rPr>
          <w:t xml:space="preserve">21,</w:t>
        </w:r>
      </w:hyperlink>
      <w:hyperlink r:id="rId32">
        <w:r>
          <w:rPr>
            <w:color w:val="DC1E34"/>
            <w:vertAlign w:val="superscript"/>
          </w:rPr>
          <w:t xml:space="preserve">22</w:t>
        </w:r>
      </w:hyperlink>
      <w:r>
        <w:t xml:space="preserve"> Several states also finance their own health insurance schemes.</w:t>
      </w:r>
      <w:hyperlink r:id="rId33">
        <w:r>
          <w:rPr>
            <w:color w:val="DC1E34"/>
            <w:vertAlign w:val="superscript"/>
          </w:rPr>
          <w:t xml:space="preserve">23</w:t>
        </w:r>
      </w:hyperlink>
      <w:r>
        <w:t xml:space="preserve"> For a foreign partner, the counterparty is often a state government; Cleveland Clinic's June 2026 MediCity MoU, for example, was signed with the Government of Maharashtra.</w:t>
      </w:r>
      <w:hyperlink r:id="rId34">
        <w:r>
          <w:rPr>
            <w:color w:val="DC1E34"/>
            <w:vertAlign w:val="superscript"/>
          </w:rPr>
          <w:t xml:space="preserve">24</w:t>
        </w:r>
      </w:hyperlink>
    </w:p>
    <w:p>
      <w:pPr>
        <w:pStyle w:val="Heading2"/>
        <w:keepNext/>
      </w:pPr>
      <w:bookmarkStart w:id="4" w:name="_sec4"/>
      <w:r>
        <w:rPr>
          <w:color w:val="DC1E34"/>
        </w:rPr>
        <w:t>Economy</w:t>
      </w:r>
      <w:bookmarkEnd w:id="4"/>
    </w:p>
    <w:p>
      <w:r>
        <w:t>The IMF's July 2026 World Economic Outlook Update describes India as among the fastest-growing major economies, with growth projected at 6.4 percent in FY2026-27.</w:t>
      </w:r>
      <w:hyperlink r:id="rId35">
        <w:r>
          <w:rPr>
            <w:color w:val="DC1E34"/>
            <w:vertAlign w:val="superscript"/>
          </w:rPr>
          <w:t xml:space="preserve">25</w:t>
        </w:r>
      </w:hyperlink>
      <w:r>
        <w:t xml:space="preserve"> Official provisional estimates put real GDP growth at 7.7 percent in FY2025-26, up from 7.1 percent a year earlier, and at 7.8 percent in April to June 2026.</w:t>
      </w:r>
      <w:hyperlink r:id="rId36">
        <w:r>
          <w:rPr>
            <w:color w:val="DC1E34"/>
            <w:vertAlign w:val="superscript"/>
          </w:rPr>
          <w:t xml:space="preserve">26,</w:t>
        </w:r>
      </w:hyperlink>
      <w:hyperlink r:id="rId37">
        <w:r>
          <w:rPr>
            <w:color w:val="DC1E34"/>
            <w:vertAlign w:val="superscript"/>
          </w:rPr>
          <w:t xml:space="preserve">27</w:t>
        </w:r>
      </w:hyperlink>
      <w:r>
        <w:t xml:space="preserve"> The World Bank puts 2025 GDP at about US$17.2 trillion in purchasing-power terms, or about US$11,748 per person.</w:t>
      </w:r>
      <w:hyperlink r:id="rId15">
        <w:r>
          <w:rPr>
            <w:color w:val="DC1E34"/>
            <w:vertAlign w:val="superscript"/>
          </w:rPr>
          <w:t xml:space="preserve">5,</w:t>
        </w:r>
      </w:hyperlink>
      <w:hyperlink r:id="rId17">
        <w:r>
          <w:rPr>
            <w:color w:val="DC1E34"/>
            <w:vertAlign w:val="superscript"/>
          </w:rPr>
          <w:t xml:space="preserve">7</w:t>
        </w:r>
      </w:hyperlink>
      <w:r>
        <w:t xml:space="preserve"> India is therefore a very large market in which a relatively small affluent and insured segment drives demand for premium care.</w:t>
      </w:r>
    </w:p>
    <w:p>
      <w:r>
        <w:t>US trade policy is a major risk. The US raised tariffs on most Indian goods to 50 percent from 27 August 2025 over Russian oil purchases.</w:t>
      </w:r>
      <w:hyperlink r:id="rId38">
        <w:r>
          <w:rPr>
            <w:color w:val="DC1E34"/>
            <w:vertAlign w:val="superscript"/>
          </w:rPr>
          <w:t xml:space="preserve">28</w:t>
        </w:r>
      </w:hyperlink>
      <w:r>
        <w:t xml:space="preserve"> After the US Supreme Court struck down the IEEPA tariffs on 20 February 2026, most Indian goods have faced a 10 percent Section 301 duty since 24 July 2026.</w:t>
      </w:r>
      <w:hyperlink r:id="rId39">
        <w:r>
          <w:rPr>
            <w:color w:val="DC1E34"/>
            <w:vertAlign w:val="superscript"/>
          </w:rPr>
          <w:t xml:space="preserve">29,</w:t>
        </w:r>
      </w:hyperlink>
      <w:hyperlink r:id="rId40">
        <w:r>
          <w:rPr>
            <w:color w:val="DC1E34"/>
            <w:vertAlign w:val="superscript"/>
          </w:rPr>
          <w:t xml:space="preserve">30</w:t>
        </w:r>
      </w:hyperlink>
      <w:r>
        <w:t xml:space="preserve"> Generic pharmaceuticals remain under a Section 232 investigation, and a law signed on 18 September 2026 lets the President impose tariffs of up to 100 percent on the largest buyers of Russian energy, with India among the most exposed.</w:t>
      </w:r>
      <w:hyperlink r:id="rId41">
        <w:r>
          <w:rPr>
            <w:color w:val="DC1E34"/>
            <w:vertAlign w:val="superscript"/>
          </w:rPr>
          <w:t xml:space="preserve">31,</w:t>
        </w:r>
      </w:hyperlink>
      <w:hyperlink r:id="rId42">
        <w:r>
          <w:rPr>
            <w:color w:val="DC1E34"/>
            <w:vertAlign w:val="superscript"/>
          </w:rPr>
          <w:t xml:space="preserve">32,</w:t>
        </w:r>
      </w:hyperlink>
      <w:hyperlink r:id="rId43">
        <w:r>
          <w:rPr>
            <w:color w:val="DC1E34"/>
            <w:vertAlign w:val="superscript"/>
          </w:rPr>
          <w:t xml:space="preserve">33</w:t>
        </w:r>
      </w:hyperlink>
      <w:r>
        <w:t xml:space="preserve"> The United States took about US$9.5 billion of India's record US$31.1 billion in pharmaceutical exports in FY2025-26.</w:t>
      </w:r>
      <w:hyperlink r:id="rId44">
        <w:r>
          <w:rPr>
            <w:color w:val="DC1E34"/>
            <w:vertAlign w:val="superscript"/>
          </w:rPr>
          <w:t xml:space="preserve">34</w:t>
        </w:r>
      </w:hyperlink>
    </w:p>
    <w:p>
      <w:r>
        <w:t xml:space="preserve">The Union Budget 2026-27 gave the Health Ministry Rs 1,06,530 crore (US$11.2 billion), nearly 10 percent above the previous year's revised estimate, and backed five regional medical hubs built with states and private investors.</w:t>
      </w:r>
      <w:hyperlink r:id="rId45">
        <w:r>
          <w:rPr>
            <w:color w:val="DC1E34"/>
            <w:vertAlign w:val="superscript"/>
          </w:rPr>
          <w:t xml:space="preserve">35,</w:t>
        </w:r>
      </w:hyperlink>
      <w:hyperlink r:id="rId46">
        <w:r>
          <w:rPr>
            <w:color w:val="DC1E34"/>
            <w:vertAlign w:val="superscript"/>
          </w:rPr>
          <w:t xml:space="preserve">36</w:t>
        </w:r>
      </w:hyperlink>
    </w:p>
    <w:p>
      <w:pPr>
        <w:pStyle w:val="Heading2"/>
        <w:keepNext/>
      </w:pPr>
      <w:bookmarkStart w:id="5" w:name="_sec5"/>
      <w:r>
        <w:rPr>
          <w:color w:val="DC1E34"/>
        </w:rP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spacing w:after="60"/>
            </w:pPr>
            <w:r>
              <w:rPr>
                <w:b/>
                <w:color w:val="DC1E34"/>
                <w:sz w:val="21"/>
              </w:rPr>
              <w:t>NCD share of all deaths</w:t>
            </w:r>
          </w:p>
        </w:tc>
        <w:tc>
          <w:tcPr>
            <w:tcW w:type="dxa" w:w="2436"/>
          </w:tcPr>
          <w:p>
            <w:pPr>
              <w:spacing w:after="60"/>
            </w:pPr>
            <w:r>
              <w:rPr>
                <w:sz w:val="21"/>
              </w:rPr>
              <w:t>66% (2019, WHO)</w:t>
            </w:r>
            <w:hyperlink r:id="rId47">
              <w:r>
                <w:rPr>
                  <w:color w:val="DC1E34"/>
                  <w:vertAlign w:val="superscript"/>
                </w:rPr>
                <w:t xml:space="preserve">37</w:t>
              </w:r>
            </w:hyperlink>
          </w:p>
        </w:tc>
        <w:tc>
          <w:tcPr>
            <w:tcW w:type="dxa" w:w="2436"/>
          </w:tcPr>
          <w:p>
            <w:pPr>
              <w:spacing w:after="60"/>
            </w:pPr>
            <w:r>
              <w:rPr>
                <w:b/>
                <w:color w:val="DC1E34"/>
                <w:sz w:val="21"/>
              </w:rPr>
              <w:t>Probability of dying aged 30 to 70 from the four main NCDs</w:t>
            </w:r>
          </w:p>
        </w:tc>
        <w:tc>
          <w:tcPr>
            <w:tcW w:type="dxa" w:w="2436"/>
          </w:tcPr>
          <w:p>
            <w:pPr>
              <w:spacing w:after="60"/>
            </w:pPr>
            <w:r>
              <w:rPr>
                <w:sz w:val="21"/>
              </w:rPr>
              <w:t>23.6% (2021, WHO Global Health Observatory); 23.7% in 2019</w:t>
            </w:r>
            <w:hyperlink r:id="rId48">
              <w:r>
                <w:rPr>
                  <w:color w:val="DC1E34"/>
                  <w:vertAlign w:val="superscript"/>
                </w:rPr>
                <w:t xml:space="preserve">38</w:t>
              </w:r>
            </w:hyperlink>
          </w:p>
        </w:tc>
      </w:tr>
      <w:tr>
        <w:trPr>
          <w:cantSplit/>
        </w:trPr>
        <w:tc>
          <w:tcPr>
            <w:tcW w:type="dxa" w:w="2436"/>
          </w:tcPr>
          <w:p>
            <w:pPr>
              <w:spacing w:after="60"/>
            </w:pPr>
            <w:r>
              <w:rPr>
                <w:b/>
                <w:color w:val="DC1E34"/>
                <w:sz w:val="21"/>
              </w:rPr>
              <w:t>Circulatory diseases, share of medically certified deaths</w:t>
            </w:r>
          </w:p>
        </w:tc>
        <w:tc>
          <w:tcPr>
            <w:tcW w:type="dxa" w:w="2436"/>
          </w:tcPr>
          <w:p>
            <w:pPr>
              <w:spacing w:after="60"/>
            </w:pPr>
            <w:r>
              <w:rPr>
                <w:sz w:val="21"/>
              </w:rPr>
              <w:t>38.8% (2024, Medical Certification of Cause of Death report; certified deaths were 23.1% of all registered deaths)</w:t>
            </w:r>
            <w:hyperlink r:id="rId49">
              <w:r>
                <w:rPr>
                  <w:color w:val="DC1E34"/>
                  <w:vertAlign w:val="superscript"/>
                </w:rPr>
                <w:t xml:space="preserve">39</w:t>
              </w:r>
            </w:hyperlink>
          </w:p>
        </w:tc>
        <w:tc>
          <w:tcPr>
            <w:tcW w:type="dxa" w:w="2436"/>
          </w:tcPr>
          <w:p>
            <w:pPr>
              <w:spacing w:after="60"/>
            </w:pPr>
            <w:r>
              <w:rPr>
                <w:b/>
                <w:color w:val="DC1E34"/>
                <w:sz w:val="21"/>
              </w:rPr>
              <w:t>Diabetes and prediabetes</w:t>
            </w:r>
          </w:p>
        </w:tc>
        <w:tc>
          <w:tcPr>
            <w:tcW w:type="dxa" w:w="2436"/>
          </w:tcPr>
          <w:p>
            <w:pPr>
              <w:spacing w:after="60"/>
            </w:pPr>
            <w:r>
              <w:rPr>
                <w:sz w:val="21"/>
              </w:rPr>
              <w:t>About 101 million people with diabetes (11.4%) and 136 million with prediabetes (15.3%) (ICMR-INDIAB, fieldwork 2008 to 2020, published 2023)</w:t>
            </w:r>
            <w:hyperlink r:id="rId50">
              <w:r>
                <w:rPr>
                  <w:color w:val="DC1E34"/>
                  <w:vertAlign w:val="superscript"/>
                </w:rPr>
                <w:t xml:space="preserve">40</w:t>
              </w:r>
            </w:hyperlink>
          </w:p>
        </w:tc>
      </w:tr>
      <w:tr>
        <w:trPr>
          <w:cantSplit/>
        </w:trPr>
        <w:tc>
          <w:tcPr>
            <w:tcW w:type="dxa" w:w="2436"/>
          </w:tcPr>
          <w:p>
            <w:pPr>
              <w:spacing w:after="60"/>
            </w:pPr>
            <w:r>
              <w:rPr>
                <w:b/>
                <w:color w:val="DC1E34"/>
                <w:sz w:val="21"/>
              </w:rPr>
              <w:t>Hypertension, adults 15 and over</w:t>
            </w:r>
          </w:p>
        </w:tc>
        <w:tc>
          <w:tcPr>
            <w:tcW w:type="dxa" w:w="2436"/>
          </w:tcPr>
          <w:p>
            <w:pPr>
              <w:spacing w:after="60"/>
            </w:pPr>
            <w:r>
              <w:rPr>
                <w:sz w:val="21"/>
              </w:rPr>
              <w:t>24.0% of men and 21.3% of women (NFHS-5, 2019 to 2021)</w:t>
            </w:r>
            <w:hyperlink r:id="rId51">
              <w:r>
                <w:rPr>
                  <w:color w:val="DC1E34"/>
                  <w:vertAlign w:val="superscript"/>
                </w:rPr>
                <w:t xml:space="preserve">41</w:t>
              </w:r>
            </w:hyperlink>
          </w:p>
        </w:tc>
        <w:tc>
          <w:tcPr>
            <w:tcW w:type="dxa" w:w="2436"/>
          </w:tcPr>
          <w:p>
            <w:pPr>
              <w:spacing w:after="60"/>
            </w:pPr>
            <w:r>
              <w:rPr>
                <w:b/>
                <w:color w:val="DC1E34"/>
                <w:sz w:val="21"/>
              </w:rPr>
              <w:t>Anaemia, women aged 15 to 49</w:t>
            </w:r>
          </w:p>
        </w:tc>
        <w:tc>
          <w:tcPr>
            <w:tcW w:type="dxa" w:w="2436"/>
          </w:tcPr>
          <w:p>
            <w:pPr>
              <w:spacing w:after="60"/>
            </w:pPr>
            <w:r>
              <w:rPr>
                <w:sz w:val="21"/>
              </w:rPr>
              <w:t>57% (NFHS-5, 2019 to 2021)</w:t>
            </w:r>
            <w:hyperlink r:id="rId52">
              <w:r>
                <w:rPr>
                  <w:color w:val="DC1E34"/>
                  <w:vertAlign w:val="superscript"/>
                </w:rPr>
                <w:t xml:space="preserve">42</w:t>
              </w:r>
            </w:hyperlink>
          </w:p>
        </w:tc>
      </w:tr>
      <w:tr>
        <w:trPr>
          <w:cantSplit/>
        </w:trPr>
        <w:tc>
          <w:tcPr>
            <w:tcW w:type="dxa" w:w="2436"/>
          </w:tcPr>
          <w:p>
            <w:pPr>
              <w:spacing w:after="60"/>
            </w:pPr>
            <w:r>
              <w:rPr>
                <w:b/>
                <w:color w:val="DC1E34"/>
                <w:sz w:val="21"/>
              </w:rPr>
              <w:t>New cancer cases</w:t>
            </w:r>
          </w:p>
        </w:tc>
        <w:tc>
          <w:tcPr>
            <w:tcW w:type="dxa" w:w="2436"/>
          </w:tcPr>
          <w:p>
            <w:pPr>
              <w:spacing w:after="60"/>
            </w:pPr>
            <w:r>
              <w:rPr>
                <w:sz w:val="21"/>
              </w:rPr>
              <w:t>About 1.53 million estimated (2024, ICMR National Cancer Registry Programme)</w:t>
            </w:r>
            <w:hyperlink r:id="rId53">
              <w:r>
                <w:rPr>
                  <w:color w:val="DC1E34"/>
                  <w:vertAlign w:val="superscript"/>
                </w:rPr>
                <w:t xml:space="preserve">43</w:t>
              </w:r>
            </w:hyperlink>
          </w:p>
        </w:tc>
        <w:tc>
          <w:tcPr>
            <w:tcW w:type="dxa" w:w="2436"/>
          </w:tcPr>
          <w:p>
            <w:pPr>
              <w:spacing w:after="60"/>
            </w:pPr>
            <w:r>
              <w:rPr>
                <w:b/>
                <w:color w:val="DC1E34"/>
                <w:sz w:val="21"/>
              </w:rPr>
              <w:t>Tuberculosis</w:t>
            </w:r>
          </w:p>
        </w:tc>
        <w:tc>
          <w:tcPr>
            <w:tcW w:type="dxa" w:w="2436"/>
          </w:tcPr>
          <w:p>
            <w:pPr>
              <w:spacing w:after="60"/>
            </w:pPr>
            <w:r>
              <w:rPr>
                <w:sz w:val="21"/>
              </w:rPr>
              <w:t>About 25% of global TB cases; incidence 187 per 100,000 (2024, WHO Global TB Report 2025)</w:t>
            </w:r>
            <w:hyperlink r:id="rId54">
              <w:r>
                <w:rPr>
                  <w:color w:val="DC1E34"/>
                  <w:vertAlign w:val="superscript"/>
                </w:rPr>
                <w:t xml:space="preserve">44,</w:t>
              </w:r>
            </w:hyperlink>
            <w:hyperlink r:id="rId55">
              <w:r>
                <w:rPr>
                  <w:color w:val="DC1E34"/>
                  <w:vertAlign w:val="superscript"/>
                </w:rPr>
                <w:t xml:space="preserve">45</w:t>
              </w:r>
            </w:hyperlink>
          </w:p>
        </w:tc>
      </w:tr>
      <w:tr>
        <w:trPr>
          <w:cantSplit/>
        </w:trPr>
        <w:tc>
          <w:tcPr>
            <w:tcW w:type="dxa" w:w="2436"/>
          </w:tcPr>
          <w:p>
            <w:pPr>
              <w:spacing w:after="60"/>
            </w:pPr>
            <w:r>
              <w:rPr>
                <w:b/>
                <w:color w:val="DC1E34"/>
                <w:sz w:val="21"/>
              </w:rPr>
              <w:t>Deaths attributable to air pollution</w:t>
            </w:r>
          </w:p>
        </w:tc>
        <w:tc>
          <w:tcPr>
            <w:tcW w:type="dxa" w:w="2436"/>
          </w:tcPr>
          <w:p>
            <w:pPr>
              <w:spacing w:after="60"/>
            </w:pPr>
            <w:r>
              <w:rPr>
                <w:sz w:val="21"/>
              </w:rPr>
              <w:t>About 2.1 million (2021, State of Global Air 2024)</w:t>
            </w:r>
            <w:hyperlink r:id="rId56">
              <w:r>
                <w:rPr>
                  <w:color w:val="DC1E34"/>
                  <w:vertAlign w:val="superscript"/>
                </w:rPr>
                <w:t xml:space="preserve">46,</w:t>
              </w:r>
            </w:hyperlink>
            <w:hyperlink r:id="rId57">
              <w:r>
                <w:rPr>
                  <w:color w:val="DC1E34"/>
                  <w:vertAlign w:val="superscript"/>
                </w:rPr>
                <w:t xml:space="preserve">47</w:t>
              </w:r>
            </w:hyperlink>
          </w:p>
        </w:tc>
        <w:tc>
          <w:tcPr>
            <w:tcW w:type="dxa" w:w="2436"/>
          </w:tcPr>
          <w:p/>
        </w:tc>
        <w:tc>
          <w:tcPr>
            <w:tcW w:type="dxa" w:w="2436"/>
          </w:tcPr>
          <w:p/>
        </w:tc>
      </w:tr>
    </w:tbl>
    <w:p>
      <w:pPr>
        <w:keepNext/>
        <w:spacing w:after="40"/>
      </w:pPr>
    </w:p>
    <w:p>
      <w:r>
        <w:t>Non-communicable diseases now dominate India's disease burden.</w:t>
      </w:r>
      <w:hyperlink r:id="rId58">
        <w:r>
          <w:rPr>
            <w:color w:val="DC1E34"/>
            <w:vertAlign w:val="superscript"/>
          </w:rPr>
          <w:t xml:space="preserve">48</w:t>
        </w:r>
      </w:hyperlink>
      <w:r>
        <w:t xml:space="preserve"> The NCD share of deaths rose from 37.9 percent in 1990 to 61.8 percent in 2016 and was 66 percent in 2019, according to WHO.</w:t>
      </w:r>
      <w:hyperlink r:id="rId47">
        <w:r>
          <w:rPr>
            <w:color w:val="DC1E34"/>
            <w:vertAlign w:val="superscript"/>
          </w:rPr>
          <w:t xml:space="preserve">37,</w:t>
        </w:r>
      </w:hyperlink>
      <w:hyperlink r:id="rId59">
        <w:r>
          <w:rPr>
            <w:color w:val="DC1E34"/>
            <w:vertAlign w:val="superscript"/>
          </w:rPr>
          <w:t xml:space="preserve">49</w:t>
        </w:r>
      </w:hyperlink>
      <w:r>
        <w:t xml:space="preserve"> A 30-year-old Indian had a 23.6 percent chance in 2021 of dying before 70 from one of the four main NCDs.</w:t>
      </w:r>
      <w:hyperlink r:id="rId48">
        <w:r>
          <w:rPr>
            <w:color w:val="DC1E34"/>
            <w:vertAlign w:val="superscript"/>
          </w:rPr>
          <w:t xml:space="preserve">38</w:t>
        </w:r>
      </w:hyperlink>
      <w:r>
        <w:t xml:space="preserve"> Circulatory disease caused 38.8 percent of medically certified deaths in 2024, but only 23.1 percent of registered deaths were certified.</w:t>
      </w:r>
      <w:hyperlink r:id="rId49">
        <w:r>
          <w:rPr>
            <w:color w:val="DC1E34"/>
            <w:vertAlign w:val="superscript"/>
          </w:rPr>
          <w:t xml:space="preserve">39</w:t>
        </w:r>
      </w:hyperlink>
    </w:p>
    <w:p>
      <w:r>
        <w:t>ICMR-INDIAB, published in 2023, estimated 101 million people with diabetes and 136 million with prediabetes.</w:t>
      </w:r>
      <w:hyperlink r:id="rId50">
        <w:r>
          <w:rPr>
            <w:color w:val="DC1E34"/>
            <w:vertAlign w:val="superscript"/>
          </w:rPr>
          <w:t xml:space="preserve">40</w:t>
        </w:r>
      </w:hyperlink>
      <w:r>
        <w:t xml:space="preserve"> Air pollution, high blood pressure, diet, high fasting plasma glucose and tobacco are leading risk factors, and air pollution was linked to about 2.1 million deaths in 2021.</w:t>
      </w:r>
      <w:hyperlink r:id="rId56">
        <w:r>
          <w:rPr>
            <w:color w:val="DC1E34"/>
            <w:vertAlign w:val="superscript"/>
          </w:rPr>
          <w:t xml:space="preserve">46,</w:t>
        </w:r>
      </w:hyperlink>
      <w:hyperlink r:id="rId57">
        <w:r>
          <w:rPr>
            <w:color w:val="DC1E34"/>
            <w:vertAlign w:val="superscript"/>
          </w:rPr>
          <w:t xml:space="preserve">47,</w:t>
        </w:r>
      </w:hyperlink>
      <w:hyperlink r:id="rId60">
        <w:r>
          <w:rPr>
            <w:color w:val="DC1E34"/>
            <w:vertAlign w:val="superscript"/>
          </w:rPr>
          <w:t xml:space="preserve">50,</w:t>
        </w:r>
      </w:hyperlink>
      <w:hyperlink r:id="rId61">
        <w:r>
          <w:rPr>
            <w:color w:val="DC1E34"/>
            <w:vertAlign w:val="superscript"/>
          </w:rPr>
          <w:t xml:space="preserve">51</w:t>
        </w:r>
      </w:hyperlink>
      <w:r>
        <w:t xml:space="preserve"> ICMR expects cancer cases, about 1.53 million in 2024, to keep rising, led by oral and lung cancer in men and breast and cervical cancer in women.</w:t>
      </w:r>
      <w:hyperlink r:id="rId53">
        <w:r>
          <w:rPr>
            <w:color w:val="DC1E34"/>
            <w:vertAlign w:val="superscript"/>
          </w:rPr>
          <w:t xml:space="preserve">43,</w:t>
        </w:r>
      </w:hyperlink>
      <w:hyperlink r:id="rId62">
        <w:r>
          <w:rPr>
            <w:color w:val="DC1E34"/>
            <w:vertAlign w:val="superscript"/>
          </w:rPr>
          <w:t xml:space="preserve">52</w:t>
        </w:r>
      </w:hyperlink>
    </w:p>
    <w:p>
      <w:r>
        <w:t>India had about a quarter of the world's TB cases in 2024 despite a 21 percent fall in incidence since 2015, and 57 percent of women aged 15 to 49 were anaemic in 2019-21.</w:t>
      </w:r>
      <w:hyperlink r:id="rId52">
        <w:r>
          <w:rPr>
            <w:color w:val="DC1E34"/>
            <w:vertAlign w:val="superscript"/>
          </w:rPr>
          <w:t xml:space="preserve">42,</w:t>
        </w:r>
      </w:hyperlink>
      <w:hyperlink r:id="rId54">
        <w:r>
          <w:rPr>
            <w:color w:val="DC1E34"/>
            <w:vertAlign w:val="superscript"/>
          </w:rPr>
          <w:t xml:space="preserve">44,</w:t>
        </w:r>
      </w:hyperlink>
      <w:hyperlink r:id="rId55">
        <w:r>
          <w:rPr>
            <w:color w:val="DC1E34"/>
            <w:vertAlign w:val="superscript"/>
          </w:rPr>
          <w:t xml:space="preserve">45</w:t>
        </w:r>
      </w:hyperlink>
      <w:r>
        <w:t xml:space="preserve"> For a foreign academic partner, demand is clearest in cardiology, oncology, metabolic and transplant medicine, and pulmonary research.</w:t>
      </w:r>
    </w:p>
    <w:p>
      <w:pPr>
        <w:pStyle w:val="Heading1"/>
        <w:keepNext/>
      </w:pPr>
      <w:bookmarkStart w:id="6" w:name="_sec6"/>
      <w:r>
        <w:rPr>
          <w:color w:val="DC1E34"/>
        </w:rPr>
        <w:t>India Health System</w:t>
      </w:r>
      <w:bookmarkEnd w:id="6"/>
    </w:p>
    <w:p>
      <w:pPr>
        <w:spacing w:before="0" w:after="80"/>
        <w:keepNext/>
        <w:pBdr>
          <w:bottom w:val="single" w:sz="12" w:space="1" w:color="DC1E34"/>
        </w:pBdr>
      </w:pPr>
    </w:p>
    <w:p>
      <w:pPr>
        <w:pStyle w:val="Heading2"/>
        <w:keepNext/>
      </w:pPr>
      <w:bookmarkStart w:id="7" w:name="_sec7"/>
      <w:r>
        <w:rPr>
          <w:color w:val="DC1E34"/>
        </w:rPr>
        <w:t>Public Healthcare System</w:t>
      </w:r>
      <w:bookmarkEnd w:id="7"/>
    </w:p>
    <w:p>
      <w:r>
        <w:t>India's public system is tiered. Sub-health centers and primary health centers, many upgraded into Ayushman Arogya Mandirs, feed community health centers, district hospitals, state medical college hospitals and national institutes such as AIIMS, PGIMER Chandigarh and Tata Memorial Centre.</w:t>
      </w:r>
      <w:hyperlink r:id="rId63">
        <w:r>
          <w:rPr>
            <w:color w:val="DC1E34"/>
            <w:vertAlign w:val="superscript"/>
          </w:rPr>
          <w:t xml:space="preserve">53,</w:t>
        </w:r>
      </w:hyperlink>
      <w:hyperlink r:id="rId64">
        <w:r>
          <w:rPr>
            <w:color w:val="DC1E34"/>
            <w:vertAlign w:val="superscript"/>
          </w:rPr>
          <w:t xml:space="preserve">54,</w:t>
        </w:r>
      </w:hyperlink>
      <w:hyperlink r:id="rId65">
        <w:r>
          <w:rPr>
            <w:color w:val="DC1E34"/>
            <w:vertAlign w:val="superscript"/>
          </w:rPr>
          <w:t xml:space="preserve">55</w:t>
        </w:r>
      </w:hyperlink>
      <w:r>
        <w:t xml:space="preserve"> The Health Ministry reported 1,81,873 operational Ayushman Arogya Mandirs by 30 November 2025, offering 12 service packages including NCD screening and teleconsultation.</w:t>
      </w:r>
      <w:hyperlink r:id="rId63">
        <w:r>
          <w:rPr>
            <w:color w:val="DC1E34"/>
            <w:vertAlign w:val="superscript"/>
          </w:rPr>
          <w:t xml:space="preserve">53</w:t>
        </w:r>
      </w:hyperlink>
    </w:p>
    <w:p>
      <w:r>
        <w:t xml:space="preserve">The 2026-27 Union budget gives the National Health Mission Rs 39,390 crore (US$4.15 billion) and the PM-Ayushman Bharat Health Infrastructure Mission Rs 4,770 crore (US$503 million).</w:t>
      </w:r>
      <w:hyperlink r:id="rId45">
        <w:r>
          <w:rPr>
            <w:color w:val="DC1E34"/>
            <w:vertAlign w:val="superscript"/>
          </w:rPr>
          <w:t xml:space="preserve">35</w:t>
        </w:r>
      </w:hyperlink>
      <w:r>
        <w:t xml:space="preserve"> PM-JAY, a tax-funded scheme, pays for up to Rs 5 lakh (US$5,270) of hospital care per family per year across 1,961 procedures at more than 38,000 empaneled public and private hospitals, and since September 2024 it has covered everyone aged 70 and over.</w:t>
      </w:r>
      <w:hyperlink r:id="rId66">
        <w:r>
          <w:rPr>
            <w:color w:val="DC1E34"/>
            <w:vertAlign w:val="superscript"/>
          </w:rPr>
          <w:t xml:space="preserve">56,</w:t>
        </w:r>
      </w:hyperlink>
      <w:hyperlink r:id="rId67">
        <w:r>
          <w:rPr>
            <w:color w:val="DC1E34"/>
            <w:vertAlign w:val="superscript"/>
          </w:rPr>
          <w:t xml:space="preserve">57</w:t>
        </w:r>
      </w:hyperlink>
    </w:p>
    <w:p>
      <w:r>
        <w:t>Capacity is the main weakness. Public facilities from primary health centers to medical colleges had 8,18,661 beds on 31 March 2023, fewer than 0.6 per 1,000 people against the National Health Policy 2017 norm of 2, and supply is far thinner in Bihar and Uttar Pradesh.</w:t>
      </w:r>
      <w:hyperlink r:id="rId65">
        <w:r>
          <w:rPr>
            <w:color w:val="DC1E34"/>
            <w:vertAlign w:val="superscript"/>
          </w:rPr>
          <w:t xml:space="preserve">55,</w:t>
        </w:r>
      </w:hyperlink>
      <w:hyperlink r:id="rId68">
        <w:r>
          <w:rPr>
            <w:color w:val="DC1E34"/>
            <w:vertAlign w:val="superscript"/>
          </w:rPr>
          <w:t xml:space="preserve">58</w:t>
        </w:r>
      </w:hyperlink>
      <w:r>
        <w:t xml:space="preserve"> Public care is much cheaper: average out-of-pocket spending per hospitalization, excluding childbirth, was Rs 6,631 (US$70) in public hospitals in 2025, against Rs 50,508 (US$533) in private hospitals.</w:t>
      </w:r>
      <w:hyperlink r:id="rId69">
        <w:r>
          <w:rPr>
            <w:color w:val="DC1E34"/>
            <w:vertAlign w:val="superscript"/>
          </w:rPr>
          <w:t xml:space="preserve">59,</w:t>
        </w:r>
      </w:hyperlink>
      <w:hyperlink r:id="rId70">
        <w:r>
          <w:rPr>
            <w:color w:val="DC1E34"/>
            <w:vertAlign w:val="superscript"/>
          </w:rPr>
          <w:t xml:space="preserve">60</w:t>
        </w:r>
      </w:hyperlink>
      <w:r>
        <w:t xml:space="preserve"> For a foreign academic center, public apex institutions suit research, training and protocol work, while PM-JAY tariffs set the price floor that private partners compete against.</w:t>
      </w:r>
    </w:p>
    <w:p>
      <w:pPr>
        <w:pStyle w:val="Heading2"/>
        <w:keepNext/>
      </w:pPr>
      <w:bookmarkStart w:id="8" w:name="_sec8"/>
      <w:r>
        <w:rPr>
          <w:color w:val="DC1E34"/>
        </w:rPr>
        <w:t>Private Healthcare System</w:t>
      </w:r>
      <w:bookmarkEnd w:id="8"/>
    </w:p>
    <w:p>
      <w:r>
        <w:t>Private hospitals handled 57.9 percent of rural and 64.6 percent of urban hospitalizations in 2025, according to the NSS 80th round, counting those empaneled under government schemes.</w:t>
      </w:r>
      <w:hyperlink r:id="rId71">
        <w:r>
          <w:rPr>
            <w:color w:val="DC1E34"/>
            <w:vertAlign w:val="superscript"/>
          </w:rPr>
          <w:t xml:space="preserve">61</w:t>
        </w:r>
      </w:hyperlink>
    </w:p>
    <w:p>
      <w:r>
        <w:t>The corporate chains are consolidating. Manipal Hospitals reported 49 hospitals and 13,037 licensed beds at 31 March 2026, up from 33 hospitals and 9,520 beds two years earlier, and listed in August 2026.</w:t>
      </w:r>
      <w:hyperlink r:id="rId72">
        <w:r>
          <w:rPr>
            <w:color w:val="DC1E34"/>
            <w:vertAlign w:val="superscript"/>
          </w:rPr>
          <w:t xml:space="preserve">62,</w:t>
        </w:r>
      </w:hyperlink>
      <w:hyperlink r:id="rId73">
        <w:r>
          <w:rPr>
            <w:color w:val="DC1E34"/>
            <w:vertAlign w:val="superscript"/>
          </w:rPr>
          <w:t xml:space="preserve">63</w:t>
        </w:r>
      </w:hyperlink>
      <w:r>
        <w:t xml:space="preserve"> Apollo Hospitals reported 10,970 beds in 78 hospitals in India and overseas at March 2026, including managed hospitals and day-surgery and cradle units.</w:t>
      </w:r>
      <w:hyperlink r:id="rId74">
        <w:r>
          <w:rPr>
            <w:color w:val="DC1E34"/>
            <w:vertAlign w:val="superscript"/>
          </w:rPr>
          <w:t xml:space="preserve">64,</w:t>
        </w:r>
      </w:hyperlink>
      <w:hyperlink r:id="rId75">
        <w:r>
          <w:rPr>
            <w:color w:val="DC1E34"/>
            <w:vertAlign w:val="superscript"/>
          </w:rPr>
          <w:t xml:space="preserve">65</w:t>
        </w:r>
      </w:hyperlink>
      <w:r>
        <w:t xml:space="preserve"> Aster DM Quality Care, formed by the July 2026 merger of Aster DM Healthcare with Blackstone-backed Quality Care India, has 39 hospitals and more than 10,600 beds.</w:t>
      </w:r>
      <w:hyperlink r:id="rId76">
        <w:r>
          <w:rPr>
            <w:color w:val="DC1E34"/>
            <w:vertAlign w:val="superscript"/>
          </w:rPr>
          <w:t xml:space="preserve">66,</w:t>
        </w:r>
      </w:hyperlink>
      <w:hyperlink r:id="rId77">
        <w:r>
          <w:rPr>
            <w:color w:val="DC1E34"/>
            <w:vertAlign w:val="superscript"/>
          </w:rPr>
          <w:t xml:space="preserve">67</w:t>
        </w:r>
      </w:hyperlink>
      <w:r>
        <w:t xml:space="preserve"> Max Healthcare had 4,966 operational beds at 31 March 2026 and aims to nearly double bed capacity in five years, and Medanta had about 3,665 installed beds after adding 623 in FY2025-26.</w:t>
      </w:r>
      <w:hyperlink r:id="rId78">
        <w:r>
          <w:rPr>
            <w:color w:val="DC1E34"/>
            <w:vertAlign w:val="superscript"/>
          </w:rPr>
          <w:t xml:space="preserve">68,</w:t>
        </w:r>
      </w:hyperlink>
      <w:hyperlink r:id="rId79">
        <w:r>
          <w:rPr>
            <w:color w:val="DC1E34"/>
            <w:vertAlign w:val="superscript"/>
          </w:rPr>
          <w:t xml:space="preserve">69,</w:t>
        </w:r>
      </w:hyperlink>
      <w:hyperlink r:id="rId80">
        <w:r>
          <w:rPr>
            <w:color w:val="DC1E34"/>
            <w:vertAlign w:val="superscript"/>
          </w:rPr>
          <w:t xml:space="preserve">70</w:t>
        </w:r>
      </w:hyperlink>
      <w:r>
        <w:t xml:space="preserve"> IHH Healthcare held about 31.17 percent of Fortis in November 2025.</w:t>
      </w:r>
      <w:hyperlink r:id="rId81">
        <w:r>
          <w:rPr>
            <w:color w:val="DC1E34"/>
            <w:vertAlign w:val="superscript"/>
          </w:rPr>
          <w:t xml:space="preserve">71</w:t>
        </w:r>
      </w:hyperlink>
    </w:p>
    <w:p>
      <w:r>
        <w:t>EY-Parthenon found revenue and EBITDA growth above 15 percent at leading operators in FY2025-26, occupancy mostly between 60 and 75 percent, and large bed pipelines.</w:t>
      </w:r>
      <w:hyperlink r:id="rId82">
        <w:r>
          <w:rPr>
            <w:color w:val="DC1E34"/>
            <w:vertAlign w:val="superscript"/>
          </w:rPr>
          <w:t xml:space="preserve">72,</w:t>
        </w:r>
      </w:hyperlink>
      <w:hyperlink r:id="rId83">
        <w:r>
          <w:rPr>
            <w:color w:val="DC1E34"/>
            <w:vertAlign w:val="superscript"/>
          </w:rPr>
          <w:t xml:space="preserve">73</w:t>
        </w:r>
      </w:hyperlink>
      <w:r>
        <w:t xml:space="preserve"> KKR agreed in August 2026 to buy Medicover India.</w:t>
      </w:r>
      <w:hyperlink r:id="rId84">
        <w:r>
          <w:rPr>
            <w:color w:val="DC1E34"/>
            <w:vertAlign w:val="superscript"/>
          </w:rPr>
          <w:t xml:space="preserve">74</w:t>
        </w:r>
      </w:hyperlink>
      <w:r>
        <w:t xml:space="preserve"> For a foreign academic medical center, these chains are the most likely commercial counterparties for affiliations, second-opinion services and clinical program development.</w:t>
      </w:r>
    </w:p>
    <w:p>
      <w:pPr>
        <w:pStyle w:val="Heading2"/>
        <w:keepNext/>
      </w:pPr>
      <w:bookmarkStart w:id="9" w:name="_sec9"/>
      <w:r>
        <w:rPr>
          <w:color w:val="DC1E34"/>
        </w:rP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spacing w:after="60"/>
            </w:pPr>
            <w:r>
              <w:rPr>
                <w:b/>
                <w:color w:val="DC1E34"/>
                <w:sz w:val="21"/>
              </w:rPr>
              <w:t>Total health expenditure, share of GDP</w:t>
            </w:r>
          </w:p>
        </w:tc>
        <w:tc>
          <w:tcPr>
            <w:tcW w:type="dxa" w:w="2436"/>
          </w:tcPr>
          <w:p>
            <w:pPr>
              <w:spacing w:after="60"/>
            </w:pPr>
            <w:r>
              <w:rPr>
                <w:sz w:val="21"/>
              </w:rPr>
              <w:t>3.37% on the new 2022-23 base GDP series; 3.28% on the old 2011-12 series (2022-23, National Health Accounts)</w:t>
            </w:r>
            <w:hyperlink r:id="rId33">
              <w:r>
                <w:rPr>
                  <w:color w:val="DC1E34"/>
                  <w:vertAlign w:val="superscript"/>
                </w:rPr>
                <w:t xml:space="preserve">23</w:t>
              </w:r>
            </w:hyperlink>
          </w:p>
        </w:tc>
        <w:tc>
          <w:tcPr>
            <w:tcW w:type="dxa" w:w="2436"/>
          </w:tcPr>
          <w:p>
            <w:pPr>
              <w:spacing w:after="60"/>
            </w:pPr>
            <w:r>
              <w:rPr>
                <w:b/>
                <w:color w:val="DC1E34"/>
                <w:sz w:val="21"/>
              </w:rPr>
              <w:t>Total health expenditure per capita</w:t>
            </w:r>
          </w:p>
        </w:tc>
        <w:tc>
          <w:tcPr>
            <w:tcW w:type="dxa" w:w="2436"/>
          </w:tcPr>
          <w:p>
            <w:pPr>
              <w:spacing w:after="60"/>
            </w:pPr>
            <w:r>
              <w:rPr>
                <w:sz w:val="21"/>
              </w:rPr>
              <w:t xml:space="preserve">Rs 6,373 (US$67) (2022-23, National Health Accounts)</w:t>
            </w:r>
            <w:hyperlink r:id="rId33">
              <w:r>
                <w:rPr>
                  <w:color w:val="DC1E34"/>
                  <w:vertAlign w:val="superscript"/>
                </w:rPr>
                <w:t xml:space="preserve">23,</w:t>
              </w:r>
            </w:hyperlink>
            <w:hyperlink r:id="rId85">
              <w:r>
                <w:rPr>
                  <w:color w:val="DC1E34"/>
                  <w:vertAlign w:val="superscript"/>
                </w:rPr>
                <w:t xml:space="preserve">75</w:t>
              </w:r>
            </w:hyperlink>
          </w:p>
        </w:tc>
      </w:tr>
      <w:tr>
        <w:trPr>
          <w:cantSplit/>
        </w:trPr>
        <w:tc>
          <w:tcPr>
            <w:tcW w:type="dxa" w:w="2436"/>
          </w:tcPr>
          <w:p>
            <w:pPr>
              <w:spacing w:after="60"/>
            </w:pPr>
            <w:r>
              <w:rPr>
                <w:b/>
                <w:color w:val="DC1E34"/>
                <w:sz w:val="21"/>
              </w:rPr>
              <w:t>Government health expenditure, share of GDP</w:t>
            </w:r>
          </w:p>
        </w:tc>
        <w:tc>
          <w:tcPr>
            <w:tcW w:type="dxa" w:w="2436"/>
          </w:tcPr>
          <w:p>
            <w:pPr>
              <w:spacing w:after="60"/>
            </w:pPr>
            <w:r>
              <w:rPr>
                <w:sz w:val="21"/>
              </w:rPr>
              <w:t>1.48% on the new 2022-23 base GDP series; 1.43% on the old series (2022-23)</w:t>
            </w:r>
            <w:hyperlink r:id="rId33">
              <w:r>
                <w:rPr>
                  <w:color w:val="DC1E34"/>
                  <w:vertAlign w:val="superscript"/>
                </w:rPr>
                <w:t xml:space="preserve">23,</w:t>
              </w:r>
            </w:hyperlink>
            <w:hyperlink r:id="rId86">
              <w:r>
                <w:rPr>
                  <w:color w:val="DC1E34"/>
                  <w:vertAlign w:val="superscript"/>
                </w:rPr>
                <w:t xml:space="preserve">76,</w:t>
              </w:r>
            </w:hyperlink>
            <w:hyperlink r:id="rId87">
              <w:r>
                <w:rPr>
                  <w:color w:val="DC1E34"/>
                  <w:vertAlign w:val="superscript"/>
                </w:rPr>
                <w:t xml:space="preserve">77</w:t>
              </w:r>
            </w:hyperlink>
          </w:p>
        </w:tc>
        <w:tc>
          <w:tcPr>
            <w:tcW w:type="dxa" w:w="2436"/>
          </w:tcPr>
          <w:p>
            <w:pPr>
              <w:spacing w:after="60"/>
            </w:pPr>
            <w:r>
              <w:rPr>
                <w:b/>
                <w:color w:val="DC1E34"/>
                <w:sz w:val="21"/>
              </w:rPr>
              <w:t>Government share of total health expenditure</w:t>
            </w:r>
          </w:p>
        </w:tc>
        <w:tc>
          <w:tcPr>
            <w:tcW w:type="dxa" w:w="2436"/>
          </w:tcPr>
          <w:p>
            <w:pPr>
              <w:spacing w:after="60"/>
            </w:pPr>
            <w:r>
              <w:rPr>
                <w:sz w:val="21"/>
              </w:rPr>
              <w:t>43.7% (2022-23), up from 28.6% in 2013-14</w:t>
            </w:r>
            <w:hyperlink r:id="rId86">
              <w:r>
                <w:rPr>
                  <w:color w:val="DC1E34"/>
                  <w:vertAlign w:val="superscript"/>
                </w:rPr>
                <w:t xml:space="preserve">76</w:t>
              </w:r>
            </w:hyperlink>
          </w:p>
        </w:tc>
      </w:tr>
      <w:tr>
        <w:trPr>
          <w:cantSplit/>
        </w:trPr>
        <w:tc>
          <w:tcPr>
            <w:tcW w:type="dxa" w:w="2436"/>
          </w:tcPr>
          <w:p>
            <w:pPr>
              <w:spacing w:after="60"/>
            </w:pPr>
            <w:r>
              <w:rPr>
                <w:b/>
                <w:color w:val="DC1E34"/>
                <w:sz w:val="21"/>
              </w:rPr>
              <w:t>Out-of-pocket share of total health expenditure</w:t>
            </w:r>
          </w:p>
        </w:tc>
        <w:tc>
          <w:tcPr>
            <w:tcW w:type="dxa" w:w="2436"/>
          </w:tcPr>
          <w:p>
            <w:pPr>
              <w:spacing w:after="60"/>
            </w:pPr>
            <w:r>
              <w:rPr>
                <w:sz w:val="21"/>
              </w:rPr>
              <w:t>43.4% (2022-23), up from 39.4% in 2021-22 and down from 64.2% in 2013-14</w:t>
            </w:r>
            <w:hyperlink r:id="rId85">
              <w:r>
                <w:rPr>
                  <w:color w:val="DC1E34"/>
                  <w:vertAlign w:val="superscript"/>
                </w:rPr>
                <w:t xml:space="preserve">75,</w:t>
              </w:r>
            </w:hyperlink>
            <w:hyperlink r:id="rId86">
              <w:r>
                <w:rPr>
                  <w:color w:val="DC1E34"/>
                  <w:vertAlign w:val="superscript"/>
                </w:rPr>
                <w:t xml:space="preserve">76</w:t>
              </w:r>
            </w:hyperlink>
          </w:p>
        </w:tc>
        <w:tc>
          <w:tcPr>
            <w:tcW w:type="dxa" w:w="2436"/>
          </w:tcPr>
          <w:p>
            <w:pPr>
              <w:spacing w:after="60"/>
            </w:pPr>
            <w:r>
              <w:rPr>
                <w:b/>
                <w:color w:val="DC1E34"/>
                <w:sz w:val="21"/>
              </w:rPr>
              <w:t>Government health expenditure per capita</w:t>
            </w:r>
          </w:p>
        </w:tc>
        <w:tc>
          <w:tcPr>
            <w:tcW w:type="dxa" w:w="2436"/>
          </w:tcPr>
          <w:p>
            <w:pPr>
              <w:spacing w:after="60"/>
            </w:pPr>
            <w:r>
              <w:rPr>
                <w:sz w:val="21"/>
              </w:rPr>
              <w:t xml:space="preserve">Rs 2,786 (US$29) (2022-23)</w:t>
            </w:r>
            <w:hyperlink r:id="rId86">
              <w:r>
                <w:rPr>
                  <w:color w:val="DC1E34"/>
                  <w:vertAlign w:val="superscript"/>
                </w:rPr>
                <w:t xml:space="preserve">76</w:t>
              </w:r>
            </w:hyperlink>
          </w:p>
        </w:tc>
      </w:tr>
      <w:tr>
        <w:trPr>
          <w:cantSplit/>
        </w:trPr>
        <w:tc>
          <w:tcPr>
            <w:tcW w:type="dxa" w:w="2436"/>
          </w:tcPr>
          <w:p>
            <w:pPr>
              <w:spacing w:after="60"/>
            </w:pPr>
            <w:r>
              <w:rPr>
                <w:b/>
                <w:color w:val="DC1E34"/>
                <w:sz w:val="21"/>
              </w:rPr>
              <w:t>Union Ministry of Health budget</w:t>
            </w:r>
          </w:p>
        </w:tc>
        <w:tc>
          <w:tcPr>
            <w:tcW w:type="dxa" w:w="2436"/>
          </w:tcPr>
          <w:p>
            <w:pPr>
              <w:spacing w:after="60"/>
            </w:pPr>
            <w:r>
              <w:rPr>
                <w:sz w:val="21"/>
              </w:rPr>
              <w:t xml:space="preserve">Rs 1,06,530.42 crore (US$11.2 billion) (Budget Estimate 2026-27)</w:t>
            </w:r>
            <w:hyperlink r:id="rId45">
              <w:r>
                <w:rPr>
                  <w:color w:val="DC1E34"/>
                  <w:vertAlign w:val="superscript"/>
                </w:rPr>
                <w:t xml:space="preserve">35</w:t>
              </w:r>
            </w:hyperlink>
          </w:p>
        </w:tc>
        <w:tc>
          <w:tcPr>
            <w:tcW w:type="dxa" w:w="2436"/>
          </w:tcPr>
          <w:p>
            <w:pPr>
              <w:spacing w:after="60"/>
            </w:pPr>
            <w:r>
              <w:rPr>
                <w:b/>
                <w:color w:val="DC1E34"/>
                <w:sz w:val="21"/>
              </w:rPr>
              <w:t>PM-JAY Union allocation</w:t>
            </w:r>
          </w:p>
        </w:tc>
        <w:tc>
          <w:tcPr>
            <w:tcW w:type="dxa" w:w="2436"/>
          </w:tcPr>
          <w:p>
            <w:pPr>
              <w:spacing w:after="60"/>
            </w:pPr>
            <w:r>
              <w:rPr>
                <w:sz w:val="21"/>
              </w:rPr>
              <w:t xml:space="preserve">Rs 9,500 crore (US$1 billion) (Budget Estimate 2026-27)</w:t>
            </w:r>
            <w:hyperlink r:id="rId45">
              <w:r>
                <w:rPr>
                  <w:color w:val="DC1E34"/>
                  <w:vertAlign w:val="superscript"/>
                </w:rPr>
                <w:t xml:space="preserve">35</w:t>
              </w:r>
            </w:hyperlink>
          </w:p>
        </w:tc>
      </w:tr>
      <w:tr>
        <w:trPr>
          <w:cantSplit/>
        </w:trPr>
        <w:tc>
          <w:tcPr>
            <w:tcW w:type="dxa" w:w="2436"/>
          </w:tcPr>
          <w:p>
            <w:pPr>
              <w:spacing w:after="60"/>
            </w:pPr>
            <w:r>
              <w:rPr>
                <w:b/>
                <w:color w:val="DC1E34"/>
                <w:sz w:val="21"/>
              </w:rPr>
              <w:t>Average out-of-pocket cost per hospitalisation, excluding childbirth</w:t>
            </w:r>
          </w:p>
        </w:tc>
        <w:tc>
          <w:tcPr>
            <w:tcW w:type="dxa" w:w="2436"/>
          </w:tcPr>
          <w:p>
            <w:pPr>
              <w:spacing w:after="60"/>
            </w:pPr>
            <w:r>
              <w:rPr>
                <w:sz w:val="21"/>
              </w:rPr>
              <w:t xml:space="preserve">Rs 34,064 (US$359) overall; Rs 6,631 (US$70) in public hospitals; Rs 50,508 (US$533) in private hospitals (2025, NSS 80th round)</w:t>
            </w:r>
            <w:hyperlink r:id="rId69">
              <w:r>
                <w:rPr>
                  <w:color w:val="DC1E34"/>
                  <w:vertAlign w:val="superscript"/>
                </w:rPr>
                <w:t xml:space="preserve">59,</w:t>
              </w:r>
            </w:hyperlink>
            <w:hyperlink r:id="rId70">
              <w:r>
                <w:rPr>
                  <w:color w:val="DC1E34"/>
                  <w:vertAlign w:val="superscript"/>
                </w:rPr>
                <w:t xml:space="preserve">60</w:t>
              </w:r>
            </w:hyperlink>
          </w:p>
        </w:tc>
        <w:tc>
          <w:tcPr>
            <w:tcW w:type="dxa" w:w="2436"/>
          </w:tcPr>
          <w:p>
            <w:pPr>
              <w:spacing w:after="60"/>
            </w:pPr>
            <w:r>
              <w:rPr>
                <w:b/>
                <w:color w:val="DC1E34"/>
                <w:sz w:val="21"/>
              </w:rPr>
              <w:t>Policy target</w:t>
            </w:r>
          </w:p>
        </w:tc>
        <w:tc>
          <w:tcPr>
            <w:tcW w:type="dxa" w:w="2436"/>
          </w:tcPr>
          <w:p>
            <w:pPr>
              <w:spacing w:after="60"/>
            </w:pPr>
            <w:r>
              <w:rPr>
                <w:sz w:val="21"/>
              </w:rPr>
              <w:t>Government health spending of 2.5% of GDP by 2025 (National Health Policy 2017; also recommended by the Fifteenth Finance Commission)</w:t>
            </w:r>
            <w:hyperlink r:id="rId88">
              <w:r>
                <w:rPr>
                  <w:color w:val="DC1E34"/>
                  <w:vertAlign w:val="superscript"/>
                </w:rPr>
                <w:t xml:space="preserve">78</w:t>
              </w:r>
            </w:hyperlink>
          </w:p>
        </w:tc>
      </w:tr>
    </w:tbl>
    <w:p>
      <w:pPr>
        <w:keepNext/>
        <w:spacing w:after="40"/>
      </w:pPr>
    </w:p>
    <w:p>
      <w:r>
        <w:t xml:space="preserve">The National Health Accounts for 2022-23 put total health expenditure at 3.37 percent of GDP, or Rs 6,373 (US$67) per person, and government spending at 1.48 percent, both on the new GDP series; on the old 2011-12 series the ratios are 3.28 and 1.43 percent.</w:t>
      </w:r>
      <w:hyperlink r:id="rId33">
        <w:r>
          <w:rPr>
            <w:color w:val="DC1E34"/>
            <w:vertAlign w:val="superscript"/>
          </w:rPr>
          <w:t xml:space="preserve">23,</w:t>
        </w:r>
      </w:hyperlink>
      <w:hyperlink r:id="rId85">
        <w:r>
          <w:rPr>
            <w:color w:val="DC1E34"/>
            <w:vertAlign w:val="superscript"/>
          </w:rPr>
          <w:t xml:space="preserve">75,</w:t>
        </w:r>
      </w:hyperlink>
      <w:hyperlink r:id="rId86">
        <w:r>
          <w:rPr>
            <w:color w:val="DC1E34"/>
            <w:vertAlign w:val="superscript"/>
          </w:rPr>
          <w:t xml:space="preserve">76,</w:t>
        </w:r>
      </w:hyperlink>
      <w:hyperlink r:id="rId87">
        <w:r>
          <w:rPr>
            <w:color w:val="DC1E34"/>
            <w:vertAlign w:val="superscript"/>
          </w:rPr>
          <w:t xml:space="preserve">77</w:t>
        </w:r>
      </w:hyperlink>
      <w:r>
        <w:t xml:space="preserve"> Government spending is well short of the 2.5 percent target for 2025 set by the National Health Policy 2017.</w:t>
      </w:r>
      <w:hyperlink r:id="rId88">
        <w:r>
          <w:rPr>
            <w:color w:val="DC1E34"/>
            <w:vertAlign w:val="superscript"/>
          </w:rPr>
          <w:t xml:space="preserve">78</w:t>
        </w:r>
      </w:hyperlink>
    </w:p>
    <w:p>
      <w:r>
        <w:t>From 2013-14 to 2022-23 the government share of total health spending rose from 28.6 to 43.7 percent, and the out-of-pocket share fell from 64.2 to 43.4 percent.</w:t>
      </w:r>
      <w:hyperlink r:id="rId86">
        <w:r>
          <w:rPr>
            <w:color w:val="DC1E34"/>
            <w:vertAlign w:val="superscript"/>
          </w:rPr>
          <w:t xml:space="preserve">76</w:t>
        </w:r>
      </w:hyperlink>
      <w:r>
        <w:t xml:space="preserve"> The out-of-pocket share had been 39.4 percent in COVID-affected 2021-22, and households paid more again once emergency spending ended.</w:t>
      </w:r>
      <w:hyperlink r:id="rId85">
        <w:r>
          <w:rPr>
            <w:color w:val="DC1E34"/>
            <w:vertAlign w:val="superscript"/>
          </w:rPr>
          <w:t xml:space="preserve">75,</w:t>
        </w:r>
      </w:hyperlink>
      <w:hyperlink r:id="rId86">
        <w:r>
          <w:rPr>
            <w:color w:val="DC1E34"/>
            <w:vertAlign w:val="superscript"/>
          </w:rPr>
          <w:t xml:space="preserve">76,</w:t>
        </w:r>
      </w:hyperlink>
      <w:hyperlink r:id="rId89">
        <w:r>
          <w:rPr>
            <w:color w:val="DC1E34"/>
            <w:vertAlign w:val="superscript"/>
          </w:rPr>
          <w:t xml:space="preserve">79</w:t>
        </w:r>
      </w:hyperlink>
      <w:r>
        <w:t xml:space="preserve"> Health insurance coverage reached 47.4 percent in rural and 44.3 percent in urban areas in 2025, up from 14.1 and 19.1 percent in 2017-18, yet out-of-pocket spending still averaged Rs 34,064 (US$359) per hospitalization, excluding childbirth.</w:t>
      </w:r>
      <w:hyperlink r:id="rId69">
        <w:r>
          <w:rPr>
            <w:color w:val="DC1E34"/>
            <w:vertAlign w:val="superscript"/>
          </w:rPr>
          <w:t xml:space="preserve">59,</w:t>
        </w:r>
      </w:hyperlink>
      <w:hyperlink r:id="rId70">
        <w:r>
          <w:rPr>
            <w:color w:val="DC1E34"/>
            <w:vertAlign w:val="superscript"/>
          </w:rPr>
          <w:t xml:space="preserve">60</w:t>
        </w:r>
      </w:hyperlink>
      <w:r>
        <w:t xml:space="preserve"> For a foreign partner, this means a two-tier market: a mass market anchored by PM-JAY rates and a smaller cash-paying, privately insured and international segment that sustains premium tertiary care.</w:t>
      </w:r>
    </w:p>
    <w:p>
      <w:pPr>
        <w:pStyle w:val="Heading2"/>
        <w:keepNext/>
      </w:pPr>
      <w:bookmarkStart w:id="10" w:name="_sec10"/>
      <w:r>
        <w:rPr>
          <w:color w:val="DC1E34"/>
        </w:rP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spacing w:after="60"/>
            </w:pPr>
            <w:r>
              <w:rPr>
                <w:b/>
                <w:color w:val="DC1E34"/>
                <w:sz w:val="21"/>
              </w:rPr>
              <w:t>Registered allopathic doctors</w:t>
            </w:r>
          </w:p>
        </w:tc>
        <w:tc>
          <w:tcPr>
            <w:tcW w:type="dxa" w:w="2436"/>
          </w:tcPr>
          <w:p>
            <w:pPr>
              <w:spacing w:after="60"/>
            </w:pPr>
            <w:r>
              <w:rPr>
                <w:sz w:val="21"/>
              </w:rPr>
              <w:t>13,88,185, about 1.39 million (December 2025, Health Ministry reply to the Rajya Sabha)</w:t>
            </w:r>
            <w:hyperlink r:id="rId90">
              <w:r>
                <w:rPr>
                  <w:color w:val="DC1E34"/>
                  <w:vertAlign w:val="superscript"/>
                </w:rPr>
                <w:t xml:space="preserve">80,</w:t>
              </w:r>
            </w:hyperlink>
            <w:hyperlink r:id="rId91">
              <w:r>
                <w:rPr>
                  <w:color w:val="DC1E34"/>
                  <w:vertAlign w:val="superscript"/>
                </w:rPr>
                <w:t xml:space="preserve">81</w:t>
              </w:r>
            </w:hyperlink>
          </w:p>
        </w:tc>
        <w:tc>
          <w:tcPr>
            <w:tcW w:type="dxa" w:w="2436"/>
          </w:tcPr>
          <w:p>
            <w:pPr>
              <w:spacing w:after="60"/>
            </w:pPr>
            <w:r>
              <w:rPr>
                <w:b/>
                <w:color w:val="DC1E34"/>
                <w:sz w:val="21"/>
              </w:rPr>
              <w:t>Registered AYUSH practitioners</w:t>
            </w:r>
          </w:p>
        </w:tc>
        <w:tc>
          <w:tcPr>
            <w:tcW w:type="dxa" w:w="2436"/>
          </w:tcPr>
          <w:p>
            <w:pPr>
              <w:spacing w:after="60"/>
            </w:pPr>
            <w:r>
              <w:rPr>
                <w:sz w:val="21"/>
              </w:rPr>
              <w:t>7,51,768, about 7.52 lakh (December 2025)</w:t>
            </w:r>
            <w:hyperlink r:id="rId90">
              <w:r>
                <w:rPr>
                  <w:color w:val="DC1E34"/>
                  <w:vertAlign w:val="superscript"/>
                </w:rPr>
                <w:t xml:space="preserve">80,</w:t>
              </w:r>
            </w:hyperlink>
            <w:hyperlink r:id="rId92">
              <w:r>
                <w:rPr>
                  <w:color w:val="DC1E34"/>
                  <w:vertAlign w:val="superscript"/>
                </w:rPr>
                <w:t xml:space="preserve">82</w:t>
              </w:r>
            </w:hyperlink>
          </w:p>
        </w:tc>
      </w:tr>
      <w:tr>
        <w:trPr>
          <w:cantSplit/>
        </w:trPr>
        <w:tc>
          <w:tcPr>
            <w:tcW w:type="dxa" w:w="2436"/>
          </w:tcPr>
          <w:p>
            <w:pPr>
              <w:spacing w:after="60"/>
            </w:pPr>
            <w:r>
              <w:rPr>
                <w:b/>
                <w:color w:val="DC1E34"/>
                <w:sz w:val="21"/>
              </w:rPr>
              <w:t>Official doctor-population ratio</w:t>
            </w:r>
          </w:p>
        </w:tc>
        <w:tc>
          <w:tcPr>
            <w:tcW w:type="dxa" w:w="2436"/>
          </w:tcPr>
          <w:p>
            <w:pPr>
              <w:spacing w:after="60"/>
            </w:pPr>
            <w:r>
              <w:rPr>
                <w:sz w:val="21"/>
              </w:rPr>
              <w:t>1:811 (December 2025; counts allopathic and AYUSH practitioners and assumes 80% of registrants are active)</w:t>
            </w:r>
            <w:hyperlink r:id="rId90">
              <w:r>
                <w:rPr>
                  <w:color w:val="DC1E34"/>
                  <w:vertAlign w:val="superscript"/>
                </w:rPr>
                <w:t xml:space="preserve">80,</w:t>
              </w:r>
            </w:hyperlink>
            <w:hyperlink r:id="rId91">
              <w:r>
                <w:rPr>
                  <w:color w:val="DC1E34"/>
                  <w:vertAlign w:val="superscript"/>
                </w:rPr>
                <w:t xml:space="preserve">81</w:t>
              </w:r>
            </w:hyperlink>
          </w:p>
        </w:tc>
        <w:tc>
          <w:tcPr>
            <w:tcW w:type="dxa" w:w="2436"/>
          </w:tcPr>
          <w:p>
            <w:pPr>
              <w:spacing w:after="60"/>
            </w:pPr>
            <w:r>
              <w:rPr>
                <w:b/>
                <w:color w:val="DC1E34"/>
                <w:sz w:val="21"/>
              </w:rPr>
              <w:t>Registered allopathic doctors per 1,000 people</w:t>
            </w:r>
          </w:p>
        </w:tc>
        <w:tc>
          <w:tcPr>
            <w:tcW w:type="dxa" w:w="2436"/>
          </w:tcPr>
          <w:p>
            <w:pPr>
              <w:spacing w:after="60"/>
            </w:pPr>
            <w:r>
              <w:rPr>
                <w:sz w:val="21"/>
              </w:rPr>
              <w:t>Roughly 0.95 (2025, calculated from 13.88 lakh registered doctors and the UN 2025 population estimate; the active figure is lower)</w:t>
            </w:r>
            <w:hyperlink r:id="rId13">
              <w:r>
                <w:rPr>
                  <w:color w:val="DC1E34"/>
                  <w:vertAlign w:val="superscript"/>
                </w:rPr>
                <w:t xml:space="preserve">3,</w:t>
              </w:r>
            </w:hyperlink>
            <w:hyperlink r:id="rId90">
              <w:r>
                <w:rPr>
                  <w:color w:val="DC1E34"/>
                  <w:vertAlign w:val="superscript"/>
                </w:rPr>
                <w:t xml:space="preserve">80</w:t>
              </w:r>
            </w:hyperlink>
          </w:p>
        </w:tc>
      </w:tr>
      <w:tr>
        <w:trPr>
          <w:cantSplit/>
        </w:trPr>
        <w:tc>
          <w:tcPr>
            <w:tcW w:type="dxa" w:w="2436"/>
          </w:tcPr>
          <w:p>
            <w:pPr>
              <w:spacing w:after="60"/>
            </w:pPr>
            <w:r>
              <w:rPr>
                <w:b/>
                <w:color w:val="DC1E34"/>
                <w:sz w:val="21"/>
              </w:rPr>
              <w:t>Registered nursing personnel</w:t>
            </w:r>
          </w:p>
        </w:tc>
        <w:tc>
          <w:tcPr>
            <w:tcW w:type="dxa" w:w="2436"/>
          </w:tcPr>
          <w:p>
            <w:pPr>
              <w:spacing w:after="60"/>
            </w:pPr>
            <w:r>
              <w:rPr>
                <w:sz w:val="21"/>
              </w:rPr>
              <w:t>46.02 lakh, or 2.60 per 1,000 people (31 December 2025); only 14.24 lakh enrolled in the national Nurses Registration and Tracking System (2026)</w:t>
            </w:r>
            <w:hyperlink r:id="rId93">
              <w:r>
                <w:rPr>
                  <w:color w:val="DC1E34"/>
                  <w:vertAlign w:val="superscript"/>
                </w:rPr>
                <w:t xml:space="preserve">83,</w:t>
              </w:r>
            </w:hyperlink>
            <w:hyperlink r:id="rId94">
              <w:r>
                <w:rPr>
                  <w:color w:val="DC1E34"/>
                  <w:vertAlign w:val="superscript"/>
                </w:rPr>
                <w:t xml:space="preserve">84</w:t>
              </w:r>
            </w:hyperlink>
          </w:p>
        </w:tc>
        <w:tc>
          <w:tcPr>
            <w:tcW w:type="dxa" w:w="2436"/>
          </w:tcPr>
          <w:p>
            <w:pPr>
              <w:spacing w:after="60"/>
            </w:pPr>
            <w:r>
              <w:rPr>
                <w:b/>
                <w:color w:val="DC1E34"/>
                <w:sz w:val="21"/>
              </w:rPr>
              <w:t>Public hospital beds</w:t>
            </w:r>
          </w:p>
        </w:tc>
        <w:tc>
          <w:tcPr>
            <w:tcW w:type="dxa" w:w="2436"/>
          </w:tcPr>
          <w:p>
            <w:pPr>
              <w:spacing w:after="60"/>
            </w:pPr>
            <w:r>
              <w:rPr>
                <w:sz w:val="21"/>
              </w:rPr>
              <w:t>8,18,661 beds from primary health centers to medical colleges, fewer than 0.6 per 1,000 people (31 March 2023, Health Dynamics of India 2022-23), against a National Health Policy 2017 norm of 2 per 1,000</w:t>
            </w:r>
            <w:hyperlink r:id="rId65">
              <w:r>
                <w:rPr>
                  <w:color w:val="DC1E34"/>
                  <w:vertAlign w:val="superscript"/>
                </w:rPr>
                <w:t xml:space="preserve">55</w:t>
              </w:r>
            </w:hyperlink>
          </w:p>
        </w:tc>
      </w:tr>
      <w:tr>
        <w:trPr>
          <w:cantSplit/>
        </w:trPr>
        <w:tc>
          <w:tcPr>
            <w:tcW w:type="dxa" w:w="2436"/>
          </w:tcPr>
          <w:p>
            <w:pPr>
              <w:spacing w:after="60"/>
            </w:pPr>
            <w:r>
              <w:rPr>
                <w:b/>
                <w:color w:val="DC1E34"/>
                <w:sz w:val="21"/>
              </w:rPr>
              <w:t>WHO workforce threshold</w:t>
            </w:r>
          </w:p>
        </w:tc>
        <w:tc>
          <w:tcPr>
            <w:tcW w:type="dxa" w:w="2436"/>
          </w:tcPr>
          <w:p>
            <w:pPr>
              <w:spacing w:after="60"/>
            </w:pPr>
            <w:r>
              <w:rPr>
                <w:sz w:val="21"/>
              </w:rPr>
              <w:t>44.5 doctors, nurses and midwives per 10,000 people (4.45 per 1,000), set in the 2016 Global Strategy on Human Resources for Health</w:t>
            </w:r>
            <w:hyperlink r:id="rId95">
              <w:r>
                <w:rPr>
                  <w:color w:val="DC1E34"/>
                  <w:vertAlign w:val="superscript"/>
                </w:rPr>
                <w:t xml:space="preserve">85</w:t>
              </w:r>
            </w:hyperlink>
          </w:p>
        </w:tc>
        <w:tc>
          <w:tcPr>
            <w:tcW w:type="dxa" w:w="2436"/>
          </w:tcPr>
          <w:p>
            <w:pPr>
              <w:spacing w:after="60"/>
            </w:pPr>
            <w:r>
              <w:rPr>
                <w:b/>
                <w:color w:val="DC1E34"/>
                <w:sz w:val="21"/>
              </w:rPr>
              <w:t>OECD comparators</w:t>
            </w:r>
          </w:p>
        </w:tc>
        <w:tc>
          <w:tcPr>
            <w:tcW w:type="dxa" w:w="2436"/>
          </w:tcPr>
          <w:p>
            <w:pPr>
              <w:spacing w:after="60"/>
            </w:pPr>
            <w:r>
              <w:rPr>
                <w:sz w:val="21"/>
              </w:rPr>
              <w:t>Roughly 4 practicing doctors, 9.2 nurses and just over 4 hospital beds per 1,000 people (OECD averages, Health at a Glance 2025)</w:t>
            </w:r>
            <w:hyperlink r:id="rId96">
              <w:r>
                <w:rPr>
                  <w:color w:val="DC1E34"/>
                  <w:vertAlign w:val="superscript"/>
                </w:rPr>
                <w:t xml:space="preserve">86,</w:t>
              </w:r>
            </w:hyperlink>
            <w:hyperlink r:id="rId97">
              <w:r>
                <w:rPr>
                  <w:color w:val="DC1E34"/>
                  <w:vertAlign w:val="superscript"/>
                </w:rPr>
                <w:t xml:space="preserve">87,</w:t>
              </w:r>
            </w:hyperlink>
            <w:hyperlink r:id="rId98">
              <w:r>
                <w:rPr>
                  <w:color w:val="DC1E34"/>
                  <w:vertAlign w:val="superscript"/>
                </w:rPr>
                <w:t xml:space="preserve">88</w:t>
              </w:r>
            </w:hyperlink>
          </w:p>
        </w:tc>
      </w:tr>
    </w:tbl>
    <w:p>
      <w:pPr>
        <w:keepNext/>
        <w:spacing w:after="40"/>
      </w:pPr>
    </w:p>
    <w:p>
      <w:r>
        <w:t>India's health workforce remains thin: it had 13.88 lakh registered allopathic doctors in December 2025, fewer than one per 1,000 people, and fewer still practice.</w:t>
      </w:r>
      <w:hyperlink r:id="rId90">
        <w:r>
          <w:rPr>
            <w:color w:val="DC1E34"/>
            <w:vertAlign w:val="superscript"/>
          </w:rPr>
          <w:t xml:space="preserve">80,</w:t>
        </w:r>
      </w:hyperlink>
      <w:hyperlink r:id="rId91">
        <w:r>
          <w:rPr>
            <w:color w:val="DC1E34"/>
            <w:vertAlign w:val="superscript"/>
          </w:rPr>
          <w:t xml:space="preserve">81</w:t>
        </w:r>
      </w:hyperlink>
      <w:r>
        <w:t xml:space="preserve"> The official ratio of one doctor per 811 people counts 7.5 lakh AYUSH practitioners and assumes 80 percent of registrants are active.</w:t>
      </w:r>
      <w:hyperlink r:id="rId90">
        <w:r>
          <w:rPr>
            <w:color w:val="DC1E34"/>
            <w:vertAlign w:val="superscript"/>
          </w:rPr>
          <w:t xml:space="preserve">80,</w:t>
        </w:r>
      </w:hyperlink>
      <w:hyperlink r:id="rId91">
        <w:r>
          <w:rPr>
            <w:color w:val="DC1E34"/>
            <w:vertAlign w:val="superscript"/>
          </w:rPr>
          <w:t xml:space="preserve">81</w:t>
        </w:r>
      </w:hyperlink>
      <w:r>
        <w:t xml:space="preserve"> India had 46.02 lakh registered nursing personnel at 31 December 2025, or 2.60 per 1,000, but only 14.24 lakh were enrolled in the Nurses Registration and Tracking System in 2026, so the number working in India is uncertain.</w:t>
      </w:r>
      <w:hyperlink r:id="rId93">
        <w:r>
          <w:rPr>
            <w:color w:val="DC1E34"/>
            <w:vertAlign w:val="superscript"/>
          </w:rPr>
          <w:t xml:space="preserve">83,</w:t>
        </w:r>
      </w:hyperlink>
      <w:hyperlink r:id="rId94">
        <w:r>
          <w:rPr>
            <w:color w:val="DC1E34"/>
            <w:vertAlign w:val="superscript"/>
          </w:rPr>
          <w:t xml:space="preserve">84</w:t>
        </w:r>
      </w:hyperlink>
    </w:p>
    <w:p>
      <w:r>
        <w:t>India is below WHO's threshold of 4.45 doctors, nurses and midwives per 1,000 and far below OECD averages of roughly 4 doctors and 9 nurses per 1,000 reported in 2025.</w:t>
      </w:r>
      <w:hyperlink r:id="rId93">
        <w:r>
          <w:rPr>
            <w:color w:val="DC1E34"/>
            <w:vertAlign w:val="superscript"/>
          </w:rPr>
          <w:t xml:space="preserve">83,</w:t>
        </w:r>
      </w:hyperlink>
      <w:hyperlink r:id="rId95">
        <w:r>
          <w:rPr>
            <w:color w:val="DC1E34"/>
            <w:vertAlign w:val="superscript"/>
          </w:rPr>
          <w:t xml:space="preserve">85,</w:t>
        </w:r>
      </w:hyperlink>
      <w:hyperlink r:id="rId96">
        <w:r>
          <w:rPr>
            <w:color w:val="DC1E34"/>
            <w:vertAlign w:val="superscript"/>
          </w:rPr>
          <w:t xml:space="preserve">86,</w:t>
        </w:r>
      </w:hyperlink>
      <w:hyperlink r:id="rId97">
        <w:r>
          <w:rPr>
            <w:color w:val="DC1E34"/>
            <w:vertAlign w:val="superscript"/>
          </w:rPr>
          <w:t xml:space="preserve">87</w:t>
        </w:r>
      </w:hyperlink>
      <w:r>
        <w:t xml:space="preserve"> Shortages are worst in the northern states, and rural community health centers lacked 79.9 percent of their required specialists in March 2023.</w:t>
      </w:r>
      <w:hyperlink r:id="rId93">
        <w:r>
          <w:rPr>
            <w:color w:val="DC1E34"/>
            <w:vertAlign w:val="superscript"/>
          </w:rPr>
          <w:t xml:space="preserve">83,</w:t>
        </w:r>
      </w:hyperlink>
      <w:hyperlink r:id="rId99">
        <w:r>
          <w:rPr>
            <w:color w:val="DC1E34"/>
            <w:vertAlign w:val="superscript"/>
          </w:rPr>
          <w:t xml:space="preserve">89</w:t>
        </w:r>
      </w:hyperlink>
      <w:r>
        <w:t xml:space="preserve"> The Union Budget 2026-27 plans to add 1 lakh allied health professionals over five years and train 1.5 lakh caregivers.</w:t>
      </w:r>
      <w:hyperlink r:id="rId45">
        <w:r>
          <w:rPr>
            <w:color w:val="DC1E34"/>
            <w:vertAlign w:val="superscript"/>
          </w:rPr>
          <w:t xml:space="preserve">35,</w:t>
        </w:r>
      </w:hyperlink>
      <w:hyperlink r:id="rId46">
        <w:r>
          <w:rPr>
            <w:color w:val="DC1E34"/>
            <w:vertAlign w:val="superscript"/>
          </w:rPr>
          <w:t xml:space="preserve">36,</w:t>
        </w:r>
      </w:hyperlink>
      <w:hyperlink r:id="rId100">
        <w:r>
          <w:rPr>
            <w:color w:val="DC1E34"/>
            <w:vertAlign w:val="superscript"/>
          </w:rPr>
          <w:t xml:space="preserve">90</w:t>
        </w:r>
      </w:hyperlink>
      <w:r>
        <w:t xml:space="preserve"> For a foreign academic partner, workforce development, from nursing programs and fellowships to allied-health and leadership training, is one of the clearest openings.</w:t>
      </w:r>
    </w:p>
    <w:p>
      <w:pPr>
        <w:pStyle w:val="Heading2"/>
        <w:keepNext/>
      </w:pPr>
      <w:bookmarkStart w:id="11" w:name="_sec11"/>
      <w:r>
        <w:rPr>
          <w:color w:val="DC1E34"/>
        </w:rPr>
        <w:t>Education</w:t>
      </w:r>
      <w:bookmarkEnd w:id="11"/>
    </w:p>
    <w:p>
      <w:r>
        <w:t>The National Medical Commission, which replaced the Medical Council of India in September 2020, regulates medical education nationally.</w:t>
      </w:r>
      <w:hyperlink r:id="rId101">
        <w:r>
          <w:rPr>
            <w:color w:val="DC1E34"/>
            <w:vertAlign w:val="superscript"/>
          </w:rPr>
          <w:t xml:space="preserve">91</w:t>
        </w:r>
      </w:hyperlink>
      <w:r>
        <w:t xml:space="preserve"> Admission to undergraduate medical courses runs through one exam, NEET-UG, conducted by the National Testing Agency.</w:t>
      </w:r>
      <w:hyperlink r:id="rId102">
        <w:r>
          <w:rPr>
            <w:color w:val="DC1E34"/>
            <w:vertAlign w:val="superscript"/>
          </w:rPr>
          <w:t xml:space="preserve">92</w:t>
        </w:r>
      </w:hyperlink>
      <w:r>
        <w:t xml:space="preserve"> The agency cancelled the 3 May 2026 sitting on 12 May over alleged irregularities, including a reported question-paper leak, and the government referred the case to the Central Bureau of Investigation.</w:t>
      </w:r>
      <w:hyperlink r:id="rId103">
        <w:r>
          <w:rPr>
            <w:color w:val="DC1E34"/>
            <w:vertAlign w:val="superscript"/>
          </w:rPr>
          <w:t xml:space="preserve">93,</w:t>
        </w:r>
      </w:hyperlink>
      <w:hyperlink r:id="rId104">
        <w:r>
          <w:rPr>
            <w:color w:val="DC1E34"/>
            <w:vertAlign w:val="superscript"/>
          </w:rPr>
          <w:t xml:space="preserve">94</w:t>
        </w:r>
      </w:hyperlink>
      <w:r>
        <w:t xml:space="preserve"> Close to 20 lakh candidates sat the re-examination on 21 June 2026, and 11.21 lakh qualified.</w:t>
      </w:r>
      <w:hyperlink r:id="rId102">
        <w:r>
          <w:rPr>
            <w:color w:val="DC1E34"/>
            <w:vertAlign w:val="superscript"/>
          </w:rPr>
          <w:t xml:space="preserve">92,</w:t>
        </w:r>
      </w:hyperlink>
      <w:hyperlink r:id="rId105">
        <w:r>
          <w:rPr>
            <w:color w:val="DC1E34"/>
            <w:vertAlign w:val="superscript"/>
          </w:rPr>
          <w:t xml:space="preserve">95</w:t>
        </w:r>
      </w:hyperlink>
    </w:p>
    <w:p>
      <w:r>
        <w:t>NMC's seat matrix for 2026-27 lists 1,40,664 MBBS seats in 839 colleges, 64,121 of them in government colleges, against 51,348 seats in 2014.</w:t>
      </w:r>
      <w:hyperlink r:id="rId90">
        <w:r>
          <w:rPr>
            <w:color w:val="DC1E34"/>
            <w:vertAlign w:val="superscript"/>
          </w:rPr>
          <w:t xml:space="preserve">80,</w:t>
        </w:r>
      </w:hyperlink>
      <w:hyperlink r:id="rId106">
        <w:r>
          <w:rPr>
            <w:color w:val="DC1E34"/>
            <w:vertAlign w:val="superscript"/>
          </w:rPr>
          <w:t xml:space="preserve">96</w:t>
        </w:r>
      </w:hyperlink>
    </w:p>
    <w:p>
      <w:r>
        <w:t>Postgraduate training is the bottleneck. The government reported 82,059 postgraduate seats in December 2025, up from 31,185 in 2014, while NMC counted about 57,500 MD and MS seats for 2025-26.</w:t>
      </w:r>
      <w:hyperlink r:id="rId90">
        <w:r>
          <w:rPr>
            <w:color w:val="DC1E34"/>
            <w:vertAlign w:val="superscript"/>
          </w:rPr>
          <w:t xml:space="preserve">80,</w:t>
        </w:r>
      </w:hyperlink>
      <w:hyperlink r:id="rId107">
        <w:r>
          <w:rPr>
            <w:color w:val="DC1E34"/>
            <w:vertAlign w:val="superscript"/>
          </w:rPr>
          <w:t xml:space="preserve">97</w:t>
        </w:r>
      </w:hyperlink>
      <w:r>
        <w:t xml:space="preserve"> The National Board of Examinations in Medical Sciences, an autonomous body under the Health Ministry, adds DNB and DrNB training in accredited institutions.</w:t>
      </w:r>
      <w:hyperlink r:id="rId108">
        <w:r>
          <w:rPr>
            <w:color w:val="DC1E34"/>
            <w:vertAlign w:val="superscript"/>
          </w:rPr>
          <w:t xml:space="preserve">98</w:t>
        </w:r>
      </w:hyperlink>
      <w:r>
        <w:t xml:space="preserve"> In October 2025 the NMC chair indicated that the National Exit Test would not be implemented immediately, and a doctors' federation said mock tests would run for the next three to four years.</w:t>
      </w:r>
      <w:hyperlink r:id="rId109">
        <w:r>
          <w:rPr>
            <w:color w:val="DC1E34"/>
            <w:vertAlign w:val="superscript"/>
          </w:rPr>
          <w:t xml:space="preserve">99</w:t>
        </w:r>
      </w:hyperlink>
      <w:r>
        <w:t xml:space="preserve"> Mayo Clinic's advisory role for Adani Health City's two planned medical colleges and the education pillar of Cleveland Clinic's Navi Mumbai MediCity show US institutions using graduate medical education as a way into India.</w:t>
      </w:r>
      <w:hyperlink r:id="rId34">
        <w:r>
          <w:rPr>
            <w:color w:val="DC1E34"/>
            <w:vertAlign w:val="superscript"/>
          </w:rPr>
          <w:t xml:space="preserve">24,</w:t>
        </w:r>
      </w:hyperlink>
      <w:hyperlink r:id="rId110">
        <w:r>
          <w:rPr>
            <w:color w:val="DC1E34"/>
            <w:vertAlign w:val="superscript"/>
          </w:rPr>
          <w:t xml:space="preserve">100</w:t>
        </w:r>
      </w:hyperlink>
    </w:p>
    <w:p>
      <w:pPr>
        <w:pStyle w:val="Heading2"/>
        <w:keepNext/>
      </w:pPr>
      <w:bookmarkStart w:id="12" w:name="_sec12"/>
      <w:r>
        <w:rPr>
          <w:color w:val="DC1E34"/>
        </w:rPr>
        <w:t>Healthcare Outlook</w:t>
      </w:r>
      <w:bookmarkEnd w:id="12"/>
    </w:p>
    <w:p>
      <w:r>
        <w:t>India's health policy has a clear direction: primary care through Ayushman Arogya Mandirs, hospital financing through a now-national PM-JAY, and a digital layer. By 10 July 2026 the Ayushman Bharat Digital Mission had created about 93.95 crore ABHA health IDs and linked more than 105 crore health records.</w:t>
      </w:r>
      <w:hyperlink r:id="rId111">
        <w:r>
          <w:rPr>
            <w:color w:val="DC1E34"/>
            <w:vertAlign w:val="superscript"/>
          </w:rPr>
          <w:t xml:space="preserve">101,</w:t>
        </w:r>
      </w:hyperlink>
      <w:hyperlink r:id="rId112">
        <w:r>
          <w:rPr>
            <w:color w:val="DC1E34"/>
            <w:vertAlign w:val="superscript"/>
          </w:rPr>
          <w:t xml:space="preserve">102</w:t>
        </w:r>
      </w:hyperlink>
      <w:r>
        <w:t xml:space="preserve"> This consent-based layer could support remote second opinions, tele-tumour boards and cross-border coordination.</w:t>
      </w:r>
    </w:p>
    <w:p>
      <w:r>
        <w:t>Private hospitals are expanding with public-market capital, as in Manipal's 2026 IPO, and global private equity, as with Blackstone in Aster DM Quality Care and KKR's pending purchase of Medicover India.</w:t>
      </w:r>
      <w:hyperlink r:id="rId73">
        <w:r>
          <w:rPr>
            <w:color w:val="DC1E34"/>
            <w:vertAlign w:val="superscript"/>
          </w:rPr>
          <w:t xml:space="preserve">63,</w:t>
        </w:r>
      </w:hyperlink>
      <w:hyperlink r:id="rId76">
        <w:r>
          <w:rPr>
            <w:color w:val="DC1E34"/>
            <w:vertAlign w:val="superscript"/>
          </w:rPr>
          <w:t xml:space="preserve">66,</w:t>
        </w:r>
      </w:hyperlink>
      <w:hyperlink r:id="rId84">
        <w:r>
          <w:rPr>
            <w:color w:val="DC1E34"/>
            <w:vertAlign w:val="superscript"/>
          </w:rPr>
          <w:t xml:space="preserve">74</w:t>
        </w:r>
      </w:hyperlink>
      <w:r>
        <w:t xml:space="preserve"> Maharashtra's Navi Mumbai MediCity, anchored by Cleveland Clinic under a June 2026 MoU, and Adani's two Health Cities, advised by Mayo Clinic, are the leading examples of integrated health cities.</w:t>
      </w:r>
      <w:hyperlink r:id="rId110">
        <w:r>
          <w:rPr>
            <w:color w:val="DC1E34"/>
            <w:vertAlign w:val="superscript"/>
          </w:rPr>
          <w:t xml:space="preserve">100,</w:t>
        </w:r>
      </w:hyperlink>
      <w:hyperlink r:id="rId113">
        <w:r>
          <w:rPr>
            <w:color w:val="DC1E34"/>
            <w:vertAlign w:val="superscript"/>
          </w:rPr>
          <w:t xml:space="preserve">103</w:t>
        </w:r>
      </w:hyperlink>
    </w:p>
    <w:p>
      <w:r>
        <w:t>Medical value travel is the main uncertainty. Medical arrivals were 6.44 lakh in 2024, below 6.97 lakh in 2019, and Bangladesh, which supplied about 4.8 lakh of them, was hit by visa restrictions after August 2024.</w:t>
      </w:r>
      <w:hyperlink r:id="rId114">
        <w:r>
          <w:rPr>
            <w:color w:val="DC1E34"/>
            <w:vertAlign w:val="superscript"/>
          </w:rPr>
          <w:t xml:space="preserve">104,</w:t>
        </w:r>
      </w:hyperlink>
      <w:hyperlink r:id="rId115">
        <w:r>
          <w:rPr>
            <w:color w:val="DC1E34"/>
            <w:vertAlign w:val="superscript"/>
          </w:rPr>
          <w:t xml:space="preserve">105,</w:t>
        </w:r>
      </w:hyperlink>
      <w:hyperlink r:id="rId116">
        <w:r>
          <w:rPr>
            <w:color w:val="DC1E34"/>
            <w:vertAlign w:val="superscript"/>
          </w:rPr>
          <w:t xml:space="preserve">106</w:t>
        </w:r>
      </w:hyperlink>
      <w:r>
        <w:t xml:space="preserve"> Other risks include government health spending of only 1.48 percent of GDP in 2022-23, workforce shortfalls, the 2026 NEET cancellation, and possible US tariffs of up to 100 percent on buyers of Russian oil, authorized in September 2026.</w:t>
      </w:r>
      <w:hyperlink r:id="rId33">
        <w:r>
          <w:rPr>
            <w:color w:val="DC1E34"/>
            <w:vertAlign w:val="superscript"/>
          </w:rPr>
          <w:t xml:space="preserve">23,</w:t>
        </w:r>
      </w:hyperlink>
      <w:hyperlink r:id="rId43">
        <w:r>
          <w:rPr>
            <w:color w:val="DC1E34"/>
            <w:vertAlign w:val="superscript"/>
          </w:rPr>
          <w:t xml:space="preserve">33,</w:t>
        </w:r>
      </w:hyperlink>
      <w:hyperlink r:id="rId103">
        <w:r>
          <w:rPr>
            <w:color w:val="DC1E34"/>
            <w:vertAlign w:val="superscript"/>
          </w:rPr>
          <w:t xml:space="preserve">93</w:t>
        </w:r>
      </w:hyperlink>
      <w:r>
        <w:t xml:space="preserve"> The outlook therefore favors foreign academic centers that bring training, protocols, quality systems and research to Indian partners rather than operating hospitals directly.</w:t>
      </w:r>
    </w:p>
    <w:p>
      <w:pPr>
        <w:pStyle w:val="Heading2"/>
        <w:keepNext/>
      </w:pPr>
      <w:bookmarkStart w:id="13" w:name="_sec13"/>
      <w:r>
        <w:rPr>
          <w:color w:val="DC1E34"/>
        </w:rPr>
        <w:t>Competitive Landscape</w:t>
      </w:r>
      <w:bookmarkEnd w:id="13"/>
    </w:p>
    <w:p>
      <w:r>
        <w:t>CSI's partnerships tracker identified 45 partnerships between foreign health systems and Indian institutions that are active or were active within the past five years: 36 active, 7 unclear and 2 ended. 34 involve US academic medical centers. Most are research and training collaborations, with a few clinical affiliations and almost no ownership stakes, and they cluster in Delhi, Mumbai, Chennai and Pune.</w:t>
      </w:r>
    </w:p>
    <w:p>
      <w:pPr>
        <w:jc w:val="center"/>
      </w:pPr>
      <w:r>
        <w:drawing>
          <wp:inline xmlns:a="http://schemas.openxmlformats.org/drawingml/2006/main" xmlns:pic="http://schemas.openxmlformats.org/drawingml/2006/picture">
            <wp:extent cx="4860000" cy="5276571"/>
            <wp:docPr id="2" name="Picture 2"/>
            <wp:cNvGraphicFramePr>
              <a:graphicFrameLocks noChangeAspect="1"/>
            </wp:cNvGraphicFramePr>
            <a:graphic>
              <a:graphicData uri="http://schemas.openxmlformats.org/drawingml/2006/picture">
                <pic:pic>
                  <pic:nvPicPr>
                    <pic:cNvPr id="0" name="India_partnerships_map.png"/>
                    <pic:cNvPicPr/>
                  </pic:nvPicPr>
                  <pic:blipFill>
                    <a:blip r:embed="rId117"/>
                    <a:stretch>
                      <a:fillRect/>
                    </a:stretch>
                  </pic:blipFill>
                  <pic:spPr>
                    <a:xfrm>
                      <a:off x="0" y="0"/>
                      <a:ext cx="4860000" cy="5276571"/>
                    </a:xfrm>
                    <a:prstGeom prst="rect"/>
                  </pic:spPr>
                </pic:pic>
              </a:graphicData>
            </a:graphic>
          </wp:inline>
        </w:drawing>
      </w:r>
    </w:p>
    <w:p>
      <w:r>
        <w:rPr>
          <w:i/>
          <w:color w:val="6E6E6E"/>
          <w:sz w:val="16"/>
        </w:rPr>
        <w:t>Foreign health-system partnerships by city of the partner in India: active, and unclear where no active partnership exists. Source: CSI partnerships tracker, verified 2026-09-30. Boundaries: Natural Earth; not an official depiction.</w:t>
      </w:r>
    </w:p>
    <w:p>
      <w:pPr>
        <w:spacing w:before="160"/>
      </w:pPr>
      <w:r>
        <w:rPr>
          <w:b/>
          <w:color w:val="DC1E34"/>
        </w:rPr>
        <w:t>Who is doing what</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949"/>
        <w:gridCol w:w="1949"/>
        <w:gridCol w:w="1949"/>
        <w:gridCol w:w="1949"/>
        <w:gridCol w:w="1949"/>
      </w:tblGrid>
      <w:tr>
        <w:trPr>
          <w:cantSplit/>
        </w:trPr>
        <w:tc>
          <w:tcPr>
            <w:tcW w:type="dxa" w:w="2381"/>
            <w:shd w:val="clear" w:color="auto" w:fill="DC1E34"/>
          </w:tcPr>
          <w:p>
            <w:r>
              <w:rPr>
                <w:b/>
                <w:color w:val="FFFFFF"/>
                <w:sz w:val="18"/>
              </w:rPr>
              <w:t>Institution</w:t>
            </w:r>
          </w:p>
        </w:tc>
        <w:tc>
          <w:tcPr>
            <w:tcW w:type="dxa" w:w="2721"/>
            <w:shd w:val="clear" w:color="auto" w:fill="DC1E34"/>
          </w:tcPr>
          <w:p>
            <w:r>
              <w:rPr>
                <w:b/>
                <w:color w:val="FFFFFF"/>
                <w:sz w:val="18"/>
              </w:rPr>
              <w:t>Partner in India</w:t>
            </w:r>
          </w:p>
        </w:tc>
        <w:tc>
          <w:tcPr>
            <w:tcW w:type="dxa" w:w="1928"/>
            <w:shd w:val="clear" w:color="auto" w:fill="DC1E34"/>
          </w:tcPr>
          <w:p>
            <w:r>
              <w:rPr>
                <w:b/>
                <w:color w:val="FFFFFF"/>
                <w:sz w:val="18"/>
              </w:rPr>
              <w:t>Type</w:t>
            </w:r>
          </w:p>
        </w:tc>
        <w:tc>
          <w:tcPr>
            <w:tcW w:type="dxa" w:w="1020"/>
            <w:shd w:val="clear" w:color="auto" w:fill="DC1E34"/>
          </w:tcPr>
          <w:p>
            <w:r>
              <w:rPr>
                <w:b/>
                <w:color w:val="FFFFFF"/>
                <w:sz w:val="18"/>
              </w:rPr>
              <w:t>Status</w:t>
            </w:r>
          </w:p>
        </w:tc>
        <w:tc>
          <w:tcPr>
            <w:tcW w:type="dxa" w:w="1587"/>
            <w:shd w:val="clear" w:color="auto" w:fill="DC1E34"/>
          </w:tcPr>
          <w:p>
            <w:r>
              <w:rPr>
                <w:b/>
                <w:color w:val="FFFFFF"/>
                <w:sz w:val="18"/>
              </w:rPr>
              <w:t>Latest evidence</w:t>
            </w:r>
          </w:p>
        </w:tc>
      </w:tr>
      <w:tr>
        <w:trPr>
          <w:cantSplit/>
        </w:trPr>
        <w:tc>
          <w:tcPr>
            <w:tcW w:type="dxa" w:w="1587"/>
            <w:gridSpan w:val="5"/>
            <w:shd w:val="clear" w:color="auto" w:fill="F6E3E4"/>
          </w:tcPr>
          <w:p>
            <w:r>
              <w:rPr>
                <w:b/>
                <w:color w:val="DC1E34"/>
                <w:sz w:val="18"/>
              </w:rPr>
              <w:t>US academic medical centers</w:t>
            </w:r>
          </w:p>
        </w:tc>
      </w:tr>
      <w:tr>
        <w:trPr>
          <w:cantSplit/>
        </w:trPr>
        <w:tc>
          <w:tcPr>
            <w:tcW w:type="dxa" w:w="2381"/>
          </w:tcPr>
          <w:p>
            <w:r>
              <w:rPr>
                <w:b/>
                <w:sz w:val="17"/>
              </w:rPr>
              <w:t>Children's Hospital of Philadelphia (CHOP)</w:t>
            </w:r>
          </w:p>
        </w:tc>
        <w:tc>
          <w:tcPr>
            <w:tcW w:type="dxa" w:w="2721"/>
          </w:tcPr>
          <w:p>
            <w:r>
              <w:rPr>
                <w:b w:val="0"/>
                <w:sz w:val="17"/>
              </w:rPr>
              <w:t>Amrita Hospital, Faridabad</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2024-10</w:t>
            </w:r>
            <w:hyperlink r:id="rId118">
              <w:r>
                <w:rPr>
                  <w:color w:val="DC1E34"/>
                  <w:vertAlign w:val="superscript"/>
                </w:rPr>
                <w:t xml:space="preserve">107</w:t>
              </w:r>
            </w:hyperlink>
          </w:p>
        </w:tc>
      </w:tr>
      <w:tr>
        <w:trPr>
          <w:cantSplit/>
        </w:trPr>
        <w:tc>
          <w:tcPr>
            <w:tcW w:type="dxa" w:w="2381"/>
          </w:tcPr>
          <w:p>
            <w:r>
              <w:rPr>
                <w:b/>
                <w:sz w:val="17"/>
              </w:rPr>
              <w:t>Cleveland Clinic</w:t>
            </w:r>
          </w:p>
        </w:tc>
        <w:tc>
          <w:tcPr>
            <w:tcW w:type="dxa" w:w="2721"/>
          </w:tcPr>
          <w:p>
            <w:r>
              <w:rPr>
                <w:b w:val="0"/>
                <w:sz w:val="17"/>
              </w:rPr>
              <w:t>Government of Maharashtra and Arodhan Health City (Navi Mumbai International MediCity); Brookfield Asset Management is a co-signatory investor</w:t>
            </w:r>
          </w:p>
        </w:tc>
        <w:tc>
          <w:tcPr>
            <w:tcW w:type="dxa" w:w="1928"/>
          </w:tcPr>
          <w:p>
            <w:r>
              <w:rPr>
                <w:b w:val="0"/>
                <w:sz w:val="17"/>
              </w:rPr>
              <w:t>Hospital development or joint venture</w:t>
            </w:r>
          </w:p>
        </w:tc>
        <w:tc>
          <w:tcPr>
            <w:tcW w:type="dxa" w:w="1020"/>
          </w:tcPr>
          <w:p>
            <w:r>
              <w:rPr>
                <w:b/>
                <w:sz w:val="17"/>
              </w:rPr>
              <w:t>Active</w:t>
            </w:r>
          </w:p>
        </w:tc>
        <w:tc>
          <w:tcPr>
            <w:tcW w:type="dxa" w:w="1587"/>
          </w:tcPr>
          <w:p>
            <w:r>
              <w:rPr>
                <w:b w:val="0"/>
                <w:sz w:val="17"/>
              </w:rPr>
              <w:t>2026-06</w:t>
            </w:r>
            <w:hyperlink r:id="rId34">
              <w:r>
                <w:rPr>
                  <w:color w:val="DC1E34"/>
                  <w:vertAlign w:val="superscript"/>
                </w:rPr>
                <w:t xml:space="preserve">24</w:t>
              </w:r>
            </w:hyperlink>
          </w:p>
        </w:tc>
      </w:tr>
      <w:tr>
        <w:trPr>
          <w:cantSplit/>
        </w:trPr>
        <w:tc>
          <w:tcPr>
            <w:tcW w:type="dxa" w:w="2381"/>
          </w:tcPr>
          <w:p>
            <w:r>
              <w:rPr>
                <w:b/>
                <w:sz w:val="17"/>
              </w:rPr>
              <w:t>Emory University (Emory Global Diabetes Research Center)</w:t>
            </w:r>
          </w:p>
        </w:tc>
        <w:tc>
          <w:tcPr>
            <w:tcW w:type="dxa" w:w="2721"/>
          </w:tcPr>
          <w:p>
            <w:r>
              <w:rPr>
                <w:b w:val="0"/>
                <w:sz w:val="17"/>
              </w:rPr>
              <w:t>IIT Madras Shankar Center of Excellence in Diabetes Research, with AIIMS, Madras Diabetes Research Foundation and others</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2025-05</w:t>
            </w:r>
            <w:hyperlink r:id="rId119">
              <w:r>
                <w:rPr>
                  <w:color w:val="DC1E34"/>
                  <w:vertAlign w:val="superscript"/>
                </w:rPr>
                <w:t xml:space="preserve">108</w:t>
              </w:r>
            </w:hyperlink>
          </w:p>
        </w:tc>
      </w:tr>
      <w:tr>
        <w:trPr>
          <w:cantSplit/>
        </w:trPr>
        <w:tc>
          <w:tcPr>
            <w:tcW w:type="dxa" w:w="2381"/>
          </w:tcPr>
          <w:p>
            <w:r>
              <w:rPr>
                <w:b/>
                <w:sz w:val="17"/>
              </w:rPr>
              <w:t>Hackensack Meridian Health</w:t>
            </w:r>
          </w:p>
        </w:tc>
        <w:tc>
          <w:tcPr>
            <w:tcW w:type="dxa" w:w="2721"/>
          </w:tcPr>
          <w:p>
            <w:r>
              <w:rPr>
                <w:b w:val="0"/>
                <w:sz w:val="17"/>
              </w:rPr>
              <w:t>Apollo Hospitals</w:t>
            </w:r>
          </w:p>
        </w:tc>
        <w:tc>
          <w:tcPr>
            <w:tcW w:type="dxa" w:w="1928"/>
          </w:tcPr>
          <w:p>
            <w:r>
              <w:rPr>
                <w:b w:val="0"/>
                <w:sz w:val="17"/>
              </w:rPr>
              <w:t>Clinical affiliation or network membership</w:t>
            </w:r>
          </w:p>
        </w:tc>
        <w:tc>
          <w:tcPr>
            <w:tcW w:type="dxa" w:w="1020"/>
          </w:tcPr>
          <w:p>
            <w:r>
              <w:rPr>
                <w:b/>
                <w:sz w:val="17"/>
              </w:rPr>
              <w:t>Active</w:t>
            </w:r>
          </w:p>
        </w:tc>
        <w:tc>
          <w:tcPr>
            <w:tcW w:type="dxa" w:w="1587"/>
          </w:tcPr>
          <w:p>
            <w:r>
              <w:rPr>
                <w:b w:val="0"/>
                <w:sz w:val="17"/>
              </w:rPr>
              <w:t>2025-01</w:t>
            </w:r>
            <w:hyperlink r:id="rId120">
              <w:r>
                <w:rPr>
                  <w:color w:val="DC1E34"/>
                  <w:vertAlign w:val="superscript"/>
                </w:rPr>
                <w:t xml:space="preserve">109</w:t>
              </w:r>
            </w:hyperlink>
          </w:p>
        </w:tc>
      </w:tr>
      <w:tr>
        <w:trPr>
          <w:cantSplit/>
        </w:trPr>
        <w:tc>
          <w:tcPr>
            <w:tcW w:type="dxa" w:w="2381"/>
          </w:tcPr>
          <w:p>
            <w:r>
              <w:rPr>
                <w:b/>
                <w:sz w:val="17"/>
              </w:rPr>
              <w:t>Johns Hopkins (University)</w:t>
            </w:r>
          </w:p>
        </w:tc>
        <w:tc>
          <w:tcPr>
            <w:tcW w:type="dxa" w:w="2721"/>
          </w:tcPr>
          <w:p>
            <w:r>
              <w:rPr>
                <w:b w:val="0"/>
                <w:sz w:val="17"/>
              </w:rPr>
              <w:t>Ajit Isaac Foundation, Bengaluru</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2026-04</w:t>
            </w:r>
            <w:hyperlink r:id="rId121">
              <w:r>
                <w:rPr>
                  <w:color w:val="DC1E34"/>
                  <w:vertAlign w:val="superscript"/>
                </w:rPr>
                <w:t xml:space="preserve">110</w:t>
              </w:r>
            </w:hyperlink>
          </w:p>
        </w:tc>
      </w:tr>
      <w:tr>
        <w:trPr>
          <w:cantSplit/>
        </w:trPr>
        <w:tc>
          <w:tcPr>
            <w:tcW w:type="dxa" w:w="2381"/>
          </w:tcPr>
          <w:p>
            <w:r>
              <w:rPr>
                <w:b/>
                <w:sz w:val="17"/>
              </w:rPr>
              <w:t>Johns Hopkins (University)</w:t>
            </w:r>
          </w:p>
        </w:tc>
        <w:tc>
          <w:tcPr>
            <w:tcW w:type="dxa" w:w="2721"/>
          </w:tcPr>
          <w:p>
            <w:r>
              <w:rPr>
                <w:b w:val="0"/>
                <w:sz w:val="17"/>
              </w:rPr>
              <w:t>Dr. D.Y. Patil Medical College and Vidyapeeth, Pune</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2026-03</w:t>
            </w:r>
            <w:hyperlink r:id="rId122">
              <w:r>
                <w:rPr>
                  <w:color w:val="DC1E34"/>
                  <w:vertAlign w:val="superscript"/>
                </w:rPr>
                <w:t xml:space="preserve">111</w:t>
              </w:r>
            </w:hyperlink>
          </w:p>
        </w:tc>
      </w:tr>
      <w:tr>
        <w:trPr>
          <w:cantSplit/>
        </w:trPr>
        <w:tc>
          <w:tcPr>
            <w:tcW w:type="dxa" w:w="2381"/>
          </w:tcPr>
          <w:p>
            <w:r>
              <w:rPr>
                <w:b/>
                <w:sz w:val="17"/>
              </w:rPr>
              <w:t>Johns Hopkins (University)</w:t>
            </w:r>
          </w:p>
        </w:tc>
        <w:tc>
          <w:tcPr>
            <w:tcW w:type="dxa" w:w="2721"/>
          </w:tcPr>
          <w:p>
            <w:r>
              <w:rPr>
                <w:b w:val="0"/>
                <w:sz w:val="17"/>
              </w:rPr>
              <w:t>IIT Bombay, Koita Centre for Digital Health</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2025-12</w:t>
            </w:r>
            <w:hyperlink r:id="rId123">
              <w:r>
                <w:rPr>
                  <w:color w:val="DC1E34"/>
                  <w:vertAlign w:val="superscript"/>
                </w:rPr>
                <w:t xml:space="preserve">112</w:t>
              </w:r>
            </w:hyperlink>
          </w:p>
        </w:tc>
      </w:tr>
      <w:tr>
        <w:trPr>
          <w:cantSplit/>
        </w:trPr>
        <w:tc>
          <w:tcPr>
            <w:tcW w:type="dxa" w:w="2381"/>
          </w:tcPr>
          <w:p>
            <w:r>
              <w:rPr>
                <w:b/>
                <w:sz w:val="17"/>
              </w:rPr>
              <w:t>Johns Hopkins University (School of Medicine)</w:t>
            </w:r>
          </w:p>
        </w:tc>
        <w:tc>
          <w:tcPr>
            <w:tcW w:type="dxa" w:w="2721"/>
          </w:tcPr>
          <w:p>
            <w:r>
              <w:rPr>
                <w:b w:val="0"/>
                <w:sz w:val="17"/>
              </w:rPr>
              <w:t>Byramjee Jeejeebhoy Government Medical College and Sassoon General Hospitals, Pune (BJGMC-JHU Clinical Research Site)</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2026-09</w:t>
            </w:r>
            <w:hyperlink r:id="rId124">
              <w:r>
                <w:rPr>
                  <w:color w:val="DC1E34"/>
                  <w:vertAlign w:val="superscript"/>
                </w:rPr>
                <w:t xml:space="preserve">113</w:t>
              </w:r>
            </w:hyperlink>
          </w:p>
        </w:tc>
      </w:tr>
      <w:tr>
        <w:trPr>
          <w:cantSplit/>
        </w:trPr>
        <w:tc>
          <w:tcPr>
            <w:tcW w:type="dxa" w:w="2381"/>
          </w:tcPr>
          <w:p>
            <w:r>
              <w:rPr>
                <w:b/>
                <w:sz w:val="17"/>
              </w:rPr>
              <w:t>MD Anderson Cancer Center</w:t>
            </w:r>
          </w:p>
        </w:tc>
        <w:tc>
          <w:tcPr>
            <w:tcW w:type="dxa" w:w="2721"/>
          </w:tcPr>
          <w:p>
            <w:r>
              <w:rPr>
                <w:b w:val="0"/>
                <w:sz w:val="17"/>
              </w:rPr>
              <w:t>Tata Memorial Centre, Mumbai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2024-12</w:t>
            </w:r>
            <w:hyperlink r:id="rId125">
              <w:r>
                <w:rPr>
                  <w:color w:val="DC1E34"/>
                  <w:vertAlign w:val="superscript"/>
                </w:rPr>
                <w:t xml:space="preserve">114</w:t>
              </w:r>
            </w:hyperlink>
          </w:p>
        </w:tc>
      </w:tr>
      <w:tr>
        <w:trPr>
          <w:cantSplit/>
        </w:trPr>
        <w:tc>
          <w:tcPr>
            <w:tcW w:type="dxa" w:w="2381"/>
          </w:tcPr>
          <w:p>
            <w:r>
              <w:rPr>
                <w:b/>
                <w:sz w:val="17"/>
              </w:rPr>
              <w:t>Mayo Clinic</w:t>
            </w:r>
          </w:p>
        </w:tc>
        <w:tc>
          <w:tcPr>
            <w:tcW w:type="dxa" w:w="2721"/>
          </w:tcPr>
          <w:p>
            <w:r>
              <w:rPr>
                <w:b w:val="0"/>
                <w:sz w:val="17"/>
              </w:rPr>
              <w:t>AIIMS New Delhi (Departments of Pathology and Nephrology)</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2024-12</w:t>
            </w:r>
            <w:hyperlink r:id="rId126">
              <w:r>
                <w:rPr>
                  <w:color w:val="DC1E34"/>
                  <w:vertAlign w:val="superscript"/>
                </w:rPr>
                <w:t xml:space="preserve">115</w:t>
              </w:r>
            </w:hyperlink>
          </w:p>
        </w:tc>
      </w:tr>
      <w:tr>
        <w:trPr>
          <w:cantSplit/>
        </w:trPr>
        <w:tc>
          <w:tcPr>
            <w:tcW w:type="dxa" w:w="2381"/>
          </w:tcPr>
          <w:p>
            <w:r>
              <w:rPr>
                <w:b/>
                <w:sz w:val="17"/>
              </w:rPr>
              <w:t>Mayo Clinic</w:t>
            </w:r>
          </w:p>
        </w:tc>
        <w:tc>
          <w:tcPr>
            <w:tcW w:type="dxa" w:w="2721"/>
          </w:tcPr>
          <w:p>
            <w:r>
              <w:rPr>
                <w:b w:val="0"/>
                <w:sz w:val="17"/>
              </w:rPr>
              <w:t>Adani Group (Adani Health City, Ahmedabad and Mumbai; planned Kolkata campus)</w:t>
            </w:r>
          </w:p>
        </w:tc>
        <w:tc>
          <w:tcPr>
            <w:tcW w:type="dxa" w:w="1928"/>
          </w:tcPr>
          <w:p>
            <w:r>
              <w:rPr>
                <w:b w:val="0"/>
                <w:sz w:val="17"/>
              </w:rPr>
              <w:t>Consulting or management</w:t>
            </w:r>
          </w:p>
        </w:tc>
        <w:tc>
          <w:tcPr>
            <w:tcW w:type="dxa" w:w="1020"/>
          </w:tcPr>
          <w:p>
            <w:r>
              <w:rPr>
                <w:b/>
                <w:sz w:val="17"/>
              </w:rPr>
              <w:t>Active</w:t>
            </w:r>
          </w:p>
        </w:tc>
        <w:tc>
          <w:tcPr>
            <w:tcW w:type="dxa" w:w="1587"/>
          </w:tcPr>
          <w:p>
            <w:r>
              <w:rPr>
                <w:b w:val="0"/>
                <w:sz w:val="17"/>
              </w:rPr>
              <w:t>2026-07</w:t>
            </w:r>
            <w:hyperlink r:id="rId127">
              <w:r>
                <w:rPr>
                  <w:color w:val="DC1E34"/>
                  <w:vertAlign w:val="superscript"/>
                </w:rPr>
                <w:t xml:space="preserve">116</w:t>
              </w:r>
            </w:hyperlink>
          </w:p>
        </w:tc>
      </w:tr>
      <w:tr>
        <w:trPr>
          <w:cantSplit/>
        </w:trPr>
        <w:tc>
          <w:tcPr>
            <w:tcW w:type="dxa" w:w="2381"/>
          </w:tcPr>
          <w:p>
            <w:r>
              <w:rPr>
                <w:b/>
                <w:sz w:val="17"/>
              </w:rPr>
              <w:t>Mayo Clinic</w:t>
            </w:r>
          </w:p>
        </w:tc>
        <w:tc>
          <w:tcPr>
            <w:tcW w:type="dxa" w:w="2721"/>
          </w:tcPr>
          <w:p>
            <w:r>
              <w:rPr>
                <w:b w:val="0"/>
                <w:sz w:val="17"/>
              </w:rPr>
              <w:t>Lilavati Hospital, GIFT City, Gujarat</w:t>
            </w:r>
          </w:p>
        </w:tc>
        <w:tc>
          <w:tcPr>
            <w:tcW w:type="dxa" w:w="1928"/>
          </w:tcPr>
          <w:p>
            <w:r>
              <w:rPr>
                <w:b w:val="0"/>
                <w:sz w:val="17"/>
              </w:rPr>
              <w:t>Consulting or management</w:t>
            </w:r>
          </w:p>
        </w:tc>
        <w:tc>
          <w:tcPr>
            <w:tcW w:type="dxa" w:w="1020"/>
          </w:tcPr>
          <w:p>
            <w:r>
              <w:rPr>
                <w:b/>
                <w:sz w:val="17"/>
              </w:rPr>
              <w:t>Active</w:t>
            </w:r>
          </w:p>
        </w:tc>
        <w:tc>
          <w:tcPr>
            <w:tcW w:type="dxa" w:w="1587"/>
          </w:tcPr>
          <w:p>
            <w:r>
              <w:rPr>
                <w:b w:val="0"/>
                <w:sz w:val="17"/>
              </w:rPr>
              <w:t>2026-04</w:t>
            </w:r>
            <w:hyperlink r:id="rId128">
              <w:r>
                <w:rPr>
                  <w:color w:val="DC1E34"/>
                  <w:vertAlign w:val="superscript"/>
                </w:rPr>
                <w:t xml:space="preserve">117</w:t>
              </w:r>
            </w:hyperlink>
          </w:p>
        </w:tc>
      </w:tr>
      <w:tr>
        <w:trPr>
          <w:cantSplit/>
        </w:trPr>
        <w:tc>
          <w:tcPr>
            <w:tcW w:type="dxa" w:w="2381"/>
          </w:tcPr>
          <w:p>
            <w:r>
              <w:rPr>
                <w:b/>
                <w:sz w:val="17"/>
              </w:rPr>
              <w:t>Mayo Clinic</w:t>
            </w:r>
          </w:p>
        </w:tc>
        <w:tc>
          <w:tcPr>
            <w:tcW w:type="dxa" w:w="2721"/>
          </w:tcPr>
          <w:p>
            <w:r>
              <w:rPr>
                <w:b w:val="0"/>
                <w:sz w:val="17"/>
              </w:rPr>
              <w:t>Lilavati Hospital, Mumbai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2025-09</w:t>
            </w:r>
            <w:hyperlink r:id="rId129">
              <w:r>
                <w:rPr>
                  <w:color w:val="DC1E34"/>
                  <w:vertAlign w:val="superscript"/>
                </w:rPr>
                <w:t xml:space="preserve">118</w:t>
              </w:r>
            </w:hyperlink>
          </w:p>
        </w:tc>
      </w:tr>
      <w:tr>
        <w:trPr>
          <w:cantSplit/>
        </w:trPr>
        <w:tc>
          <w:tcPr>
            <w:tcW w:type="dxa" w:w="2381"/>
          </w:tcPr>
          <w:p>
            <w:r>
              <w:rPr>
                <w:b/>
                <w:sz w:val="17"/>
              </w:rPr>
              <w:t>Mount Sinai Health System</w:t>
            </w:r>
          </w:p>
        </w:tc>
        <w:tc>
          <w:tcPr>
            <w:tcW w:type="dxa" w:w="2721"/>
          </w:tcPr>
          <w:p>
            <w:r>
              <w:rPr>
                <w:b w:val="0"/>
                <w:sz w:val="17"/>
              </w:rPr>
              <w:t>Ramaiah Memorial Hospital, Bengaluru</w:t>
            </w:r>
          </w:p>
        </w:tc>
        <w:tc>
          <w:tcPr>
            <w:tcW w:type="dxa" w:w="1928"/>
          </w:tcPr>
          <w:p>
            <w:r>
              <w:rPr>
                <w:b w:val="0"/>
                <w:sz w:val="17"/>
              </w:rPr>
              <w:t>Clinical affiliation or network membership</w:t>
            </w:r>
          </w:p>
        </w:tc>
        <w:tc>
          <w:tcPr>
            <w:tcW w:type="dxa" w:w="1020"/>
          </w:tcPr>
          <w:p>
            <w:r>
              <w:rPr>
                <w:b/>
                <w:sz w:val="17"/>
              </w:rPr>
              <w:t>Active</w:t>
            </w:r>
          </w:p>
        </w:tc>
        <w:tc>
          <w:tcPr>
            <w:tcW w:type="dxa" w:w="1587"/>
          </w:tcPr>
          <w:p>
            <w:r>
              <w:rPr>
                <w:b w:val="0"/>
                <w:sz w:val="17"/>
              </w:rPr>
              <w:t>2026-09</w:t>
            </w:r>
            <w:hyperlink r:id="rId130">
              <w:r>
                <w:rPr>
                  <w:color w:val="DC1E34"/>
                  <w:vertAlign w:val="superscript"/>
                </w:rPr>
                <w:t xml:space="preserve">119</w:t>
              </w:r>
            </w:hyperlink>
          </w:p>
        </w:tc>
      </w:tr>
      <w:tr>
        <w:trPr>
          <w:cantSplit/>
        </w:trPr>
        <w:tc>
          <w:tcPr>
            <w:tcW w:type="dxa" w:w="2381"/>
          </w:tcPr>
          <w:p>
            <w:r>
              <w:rPr>
                <w:b/>
                <w:sz w:val="17"/>
              </w:rPr>
              <w:t>Rutgers Robert Wood Johnson Medical School (Rutgers Health)</w:t>
            </w:r>
          </w:p>
        </w:tc>
        <w:tc>
          <w:tcPr>
            <w:tcW w:type="dxa" w:w="2721"/>
          </w:tcPr>
          <w:p>
            <w:r>
              <w:rPr>
                <w:b w:val="0"/>
                <w:sz w:val="17"/>
              </w:rPr>
              <w:t>Govind Ballabh Pant Institute of Postgraduate Medical Education and Research (GIPMER), New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2025-09</w:t>
            </w:r>
            <w:hyperlink r:id="rId131">
              <w:r>
                <w:rPr>
                  <w:color w:val="DC1E34"/>
                  <w:vertAlign w:val="superscript"/>
                </w:rPr>
                <w:t xml:space="preserve">120</w:t>
              </w:r>
            </w:hyperlink>
          </w:p>
        </w:tc>
      </w:tr>
      <w:tr>
        <w:trPr>
          <w:cantSplit/>
        </w:trPr>
        <w:tc>
          <w:tcPr>
            <w:tcW w:type="dxa" w:w="2381"/>
          </w:tcPr>
          <w:p>
            <w:r>
              <w:rPr>
                <w:b/>
                <w:sz w:val="17"/>
              </w:rPr>
              <w:t>Stanford Health Care</w:t>
            </w:r>
          </w:p>
        </w:tc>
        <w:tc>
          <w:tcPr>
            <w:tcW w:type="dxa" w:w="2721"/>
          </w:tcPr>
          <w:p>
            <w:r>
              <w:rPr>
                <w:b w:val="0"/>
                <w:sz w:val="17"/>
              </w:rPr>
              <w:t>National Cancer Grid (NCG) India, including Tata Memorial network centres</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2025-04</w:t>
            </w:r>
            <w:hyperlink r:id="rId132">
              <w:r>
                <w:rPr>
                  <w:color w:val="DC1E34"/>
                  <w:vertAlign w:val="superscript"/>
                </w:rPr>
                <w:t xml:space="preserve">121</w:t>
              </w:r>
            </w:hyperlink>
          </w:p>
        </w:tc>
      </w:tr>
      <w:tr>
        <w:trPr>
          <w:cantSplit/>
        </w:trPr>
        <w:tc>
          <w:tcPr>
            <w:tcW w:type="dxa" w:w="2381"/>
          </w:tcPr>
          <w:p>
            <w:r>
              <w:rPr>
                <w:b/>
                <w:sz w:val="17"/>
              </w:rPr>
              <w:t>Stanford Medicine (Emergency Medicine International, Center for Innovation in Global Health)</w:t>
            </w:r>
          </w:p>
        </w:tc>
        <w:tc>
          <w:tcPr>
            <w:tcW w:type="dxa" w:w="2721"/>
          </w:tcPr>
          <w:p>
            <w:r>
              <w:rPr>
                <w:b w:val="0"/>
                <w:sz w:val="17"/>
              </w:rPr>
              <w:t>Emergency Management and Research Institute (EMRI), India</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2025-06</w:t>
            </w:r>
            <w:hyperlink r:id="rId133">
              <w:r>
                <w:rPr>
                  <w:color w:val="DC1E34"/>
                  <w:vertAlign w:val="superscript"/>
                </w:rPr>
                <w:t xml:space="preserve">122</w:t>
              </w:r>
            </w:hyperlink>
          </w:p>
        </w:tc>
      </w:tr>
      <w:tr>
        <w:trPr>
          <w:cantSplit/>
        </w:trPr>
        <w:tc>
          <w:tcPr>
            <w:tcW w:type="dxa" w:w="2381"/>
          </w:tcPr>
          <w:p>
            <w:r>
              <w:rPr>
                <w:b/>
                <w:sz w:val="17"/>
              </w:rPr>
              <w:t>Thomas Jefferson University / Jefferson Health (Jefferson India Center)</w:t>
            </w:r>
          </w:p>
        </w:tc>
        <w:tc>
          <w:tcPr>
            <w:tcW w:type="dxa" w:w="2721"/>
          </w:tcPr>
          <w:p>
            <w:r>
              <w:rPr>
                <w:b w:val="0"/>
                <w:sz w:val="17"/>
              </w:rPr>
              <w:t>KLE Academy of Higher Education and Research (J N Medical College, Belagavi); LV Prasad Eye Institute, Hyderabad (listed by Jefferson, no recent dated activity)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2026-04</w:t>
            </w:r>
            <w:hyperlink r:id="rId134">
              <w:r>
                <w:rPr>
                  <w:color w:val="DC1E34"/>
                  <w:vertAlign w:val="superscript"/>
                </w:rPr>
                <w:t xml:space="preserve">123</w:t>
              </w:r>
            </w:hyperlink>
          </w:p>
        </w:tc>
      </w:tr>
      <w:tr>
        <w:trPr>
          <w:cantSplit/>
        </w:trPr>
        <w:tc>
          <w:tcPr>
            <w:tcW w:type="dxa" w:w="2381"/>
          </w:tcPr>
          <w:p>
            <w:r>
              <w:rPr>
                <w:b/>
                <w:sz w:val="17"/>
              </w:rPr>
              <w:t>UCLA Health</w:t>
            </w:r>
          </w:p>
        </w:tc>
        <w:tc>
          <w:tcPr>
            <w:tcW w:type="dxa" w:w="2721"/>
          </w:tcPr>
          <w:p>
            <w:r>
              <w:rPr>
                <w:b w:val="0"/>
                <w:sz w:val="17"/>
              </w:rPr>
              <w:t>All India Institute of Medical Sciences, New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2025-06</w:t>
            </w:r>
            <w:hyperlink r:id="rId135">
              <w:r>
                <w:rPr>
                  <w:color w:val="DC1E34"/>
                  <w:vertAlign w:val="superscript"/>
                </w:rPr>
                <w:t xml:space="preserve">124</w:t>
              </w:r>
            </w:hyperlink>
          </w:p>
        </w:tc>
      </w:tr>
      <w:tr>
        <w:trPr>
          <w:cantSplit/>
        </w:trPr>
        <w:tc>
          <w:tcPr>
            <w:tcW w:type="dxa" w:w="2381"/>
          </w:tcPr>
          <w:p>
            <w:r>
              <w:rPr>
                <w:b/>
                <w:sz w:val="17"/>
              </w:rPr>
              <w:t>UCLA Health</w:t>
            </w:r>
          </w:p>
        </w:tc>
        <w:tc>
          <w:tcPr>
            <w:tcW w:type="dxa" w:w="2721"/>
          </w:tcPr>
          <w:p>
            <w:r>
              <w:rPr>
                <w:b w:val="0"/>
                <w:sz w:val="17"/>
              </w:rPr>
              <w:t>Federation of Obstetric and Gynaecological Societies of India (FOGSI) and SAFOG</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2025-12</w:t>
            </w:r>
            <w:hyperlink r:id="rId136">
              <w:r>
                <w:rPr>
                  <w:color w:val="DC1E34"/>
                  <w:vertAlign w:val="superscript"/>
                </w:rPr>
                <w:t xml:space="preserve">125</w:t>
              </w:r>
            </w:hyperlink>
          </w:p>
        </w:tc>
      </w:tr>
      <w:tr>
        <w:trPr>
          <w:cantSplit/>
        </w:trPr>
        <w:tc>
          <w:tcPr>
            <w:tcW w:type="dxa" w:w="2381"/>
          </w:tcPr>
          <w:p>
            <w:r>
              <w:rPr>
                <w:b/>
                <w:sz w:val="17"/>
              </w:rPr>
              <w:t>UCLA Health</w:t>
            </w:r>
          </w:p>
        </w:tc>
        <w:tc>
          <w:tcPr>
            <w:tcW w:type="dxa" w:w="2721"/>
          </w:tcPr>
          <w:p>
            <w:r>
              <w:rPr>
                <w:b w:val="0"/>
                <w:sz w:val="17"/>
              </w:rPr>
              <w:t>Narendra Modi Medical College, Ahmedabad</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2025-06</w:t>
            </w:r>
            <w:hyperlink r:id="rId135">
              <w:r>
                <w:rPr>
                  <w:color w:val="DC1E34"/>
                  <w:vertAlign w:val="superscript"/>
                </w:rPr>
                <w:t xml:space="preserve">124</w:t>
              </w:r>
            </w:hyperlink>
          </w:p>
        </w:tc>
      </w:tr>
      <w:tr>
        <w:trPr>
          <w:cantSplit/>
        </w:trPr>
        <w:tc>
          <w:tcPr>
            <w:tcW w:type="dxa" w:w="2381"/>
          </w:tcPr>
          <w:p>
            <w:r>
              <w:rPr>
                <w:b/>
                <w:sz w:val="17"/>
              </w:rPr>
              <w:t>University of Alabama at Birmingham (Heersink School of Medicine)</w:t>
            </w:r>
          </w:p>
        </w:tc>
        <w:tc>
          <w:tcPr>
            <w:tcW w:type="dxa" w:w="2721"/>
          </w:tcPr>
          <w:p>
            <w:r>
              <w:rPr>
                <w:b w:val="0"/>
                <w:sz w:val="17"/>
              </w:rPr>
              <w:t>Pravara Institute of Medical Sciences (Loni) and Bharati Vidyapeeth Medical College (Pune)</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2025-07</w:t>
            </w:r>
            <w:hyperlink r:id="rId137">
              <w:r>
                <w:rPr>
                  <w:color w:val="DC1E34"/>
                  <w:vertAlign w:val="superscript"/>
                </w:rPr>
                <w:t xml:space="preserve">126</w:t>
              </w:r>
            </w:hyperlink>
          </w:p>
        </w:tc>
      </w:tr>
      <w:tr>
        <w:trPr>
          <w:cantSplit/>
        </w:trPr>
        <w:tc>
          <w:tcPr>
            <w:tcW w:type="dxa" w:w="2381"/>
          </w:tcPr>
          <w:p>
            <w:r>
              <w:rPr>
                <w:b/>
                <w:sz w:val="17"/>
              </w:rPr>
              <w:t>University of California San Francisco (Francis I. Proctor Foundation)</w:t>
            </w:r>
          </w:p>
        </w:tc>
        <w:tc>
          <w:tcPr>
            <w:tcW w:type="dxa" w:w="2721"/>
          </w:tcPr>
          <w:p>
            <w:r>
              <w:rPr>
                <w:b w:val="0"/>
                <w:sz w:val="17"/>
              </w:rPr>
              <w:t>Aravind Eye Care System, Madurai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2026-08</w:t>
            </w:r>
            <w:hyperlink r:id="rId138">
              <w:r>
                <w:rPr>
                  <w:color w:val="DC1E34"/>
                  <w:vertAlign w:val="superscript"/>
                </w:rPr>
                <w:t xml:space="preserve">127</w:t>
              </w:r>
            </w:hyperlink>
          </w:p>
        </w:tc>
      </w:tr>
      <w:tr>
        <w:trPr>
          <w:cantSplit/>
        </w:trPr>
        <w:tc>
          <w:tcPr>
            <w:tcW w:type="dxa" w:w="2381"/>
          </w:tcPr>
          <w:p>
            <w:r>
              <w:rPr>
                <w:b/>
                <w:sz w:val="17"/>
              </w:rPr>
              <w:t>University of Iowa (Carver College of Medicine, Ophthalmology)</w:t>
            </w:r>
          </w:p>
        </w:tc>
        <w:tc>
          <w:tcPr>
            <w:tcW w:type="dxa" w:w="2721"/>
          </w:tcPr>
          <w:p>
            <w:r>
              <w:rPr>
                <w:b w:val="0"/>
                <w:sz w:val="17"/>
              </w:rPr>
              <w:t>Dr. Shroff's Charity Eye Hospital, New Delhi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2025-02</w:t>
            </w:r>
            <w:hyperlink r:id="rId139">
              <w:r>
                <w:rPr>
                  <w:color w:val="DC1E34"/>
                  <w:vertAlign w:val="superscript"/>
                </w:rPr>
                <w:t xml:space="preserve">128</w:t>
              </w:r>
            </w:hyperlink>
          </w:p>
        </w:tc>
      </w:tr>
      <w:tr>
        <w:trPr>
          <w:cantSplit/>
        </w:trPr>
        <w:tc>
          <w:tcPr>
            <w:tcW w:type="dxa" w:w="2381"/>
          </w:tcPr>
          <w:p>
            <w:r>
              <w:rPr>
                <w:b/>
                <w:sz w:val="17"/>
              </w:rPr>
              <w:t>University of Michigan Medical School / Michigan Medicine</w:t>
            </w:r>
          </w:p>
        </w:tc>
        <w:tc>
          <w:tcPr>
            <w:tcW w:type="dxa" w:w="2721"/>
          </w:tcPr>
          <w:p>
            <w:r>
              <w:rPr>
                <w:b w:val="0"/>
                <w:sz w:val="17"/>
              </w:rPr>
              <w:t>AIIMS Jammu</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2025-11</w:t>
            </w:r>
            <w:hyperlink r:id="rId140">
              <w:r>
                <w:rPr>
                  <w:color w:val="DC1E34"/>
                  <w:vertAlign w:val="superscript"/>
                </w:rPr>
                <w:t xml:space="preserve">129</w:t>
              </w:r>
            </w:hyperlink>
          </w:p>
        </w:tc>
      </w:tr>
      <w:tr>
        <w:trPr>
          <w:cantSplit/>
        </w:trPr>
        <w:tc>
          <w:tcPr>
            <w:tcW w:type="dxa" w:w="2381"/>
          </w:tcPr>
          <w:p>
            <w:r>
              <w:rPr>
                <w:b/>
                <w:sz w:val="17"/>
              </w:rPr>
              <w:t>University of Wisconsin-Madison Department of Ophthalmology and Visual Sciences (UW Health)</w:t>
            </w:r>
          </w:p>
        </w:tc>
        <w:tc>
          <w:tcPr>
            <w:tcW w:type="dxa" w:w="2721"/>
          </w:tcPr>
          <w:p>
            <w:r>
              <w:rPr>
                <w:b w:val="0"/>
                <w:sz w:val="17"/>
              </w:rPr>
              <w:t>Dr. Shroff's Charity Eye Hospital, New Delhi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2025-02</w:t>
            </w:r>
            <w:hyperlink r:id="rId141">
              <w:r>
                <w:rPr>
                  <w:color w:val="DC1E34"/>
                  <w:vertAlign w:val="superscript"/>
                </w:rPr>
                <w:t xml:space="preserve">130</w:t>
              </w:r>
            </w:hyperlink>
          </w:p>
        </w:tc>
      </w:tr>
      <w:tr>
        <w:trPr>
          <w:cantSplit/>
        </w:trPr>
        <w:tc>
          <w:tcPr>
            <w:tcW w:type="dxa" w:w="2381"/>
          </w:tcPr>
          <w:p>
            <w:r>
              <w:rPr>
                <w:b/>
                <w:sz w:val="17"/>
              </w:rPr>
              <w:t>Weill Cornell Medicine (Center for Global Health)</w:t>
            </w:r>
          </w:p>
        </w:tc>
        <w:tc>
          <w:tcPr>
            <w:tcW w:type="dxa" w:w="2721"/>
          </w:tcPr>
          <w:p>
            <w:r>
              <w:rPr>
                <w:b w:val="0"/>
                <w:sz w:val="17"/>
              </w:rPr>
              <w:t>Byramjee Jeejeebhoy Government Medical College and Sassoon Hospital, Pune; Deep Griha Society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2026-09</w:t>
            </w:r>
            <w:hyperlink r:id="rId124">
              <w:r>
                <w:rPr>
                  <w:color w:val="DC1E34"/>
                  <w:vertAlign w:val="superscript"/>
                </w:rPr>
                <w:t xml:space="preserve">113</w:t>
              </w:r>
            </w:hyperlink>
          </w:p>
        </w:tc>
      </w:tr>
      <w:tr>
        <w:trPr>
          <w:cantSplit/>
        </w:trPr>
        <w:tc>
          <w:tcPr>
            <w:tcW w:type="dxa" w:w="2381"/>
          </w:tcPr>
          <w:p>
            <w:r>
              <w:rPr>
                <w:b/>
                <w:sz w:val="17"/>
              </w:rPr>
              <w:t>Cleveland Clinic</w:t>
            </w:r>
          </w:p>
        </w:tc>
        <w:tc>
          <w:tcPr>
            <w:tcW w:type="dxa" w:w="2721"/>
          </w:tcPr>
          <w:p>
            <w:r>
              <w:rPr>
                <w:b w:val="0"/>
                <w:sz w:val="17"/>
              </w:rPr>
              <w:t>Apollo Hospitals Group</w:t>
            </w:r>
          </w:p>
        </w:tc>
        <w:tc>
          <w:tcPr>
            <w:tcW w:type="dxa" w:w="1928"/>
          </w:tcPr>
          <w:p>
            <w:r>
              <w:rPr>
                <w:b w:val="0"/>
                <w:sz w:val="17"/>
              </w:rPr>
              <w:t>Telemedicine or second opinion</w:t>
            </w:r>
          </w:p>
        </w:tc>
        <w:tc>
          <w:tcPr>
            <w:tcW w:type="dxa" w:w="1020"/>
          </w:tcPr>
          <w:p>
            <w:r>
              <w:rPr>
                <w:b/>
                <w:sz w:val="17"/>
              </w:rPr>
              <w:t>Unclear</w:t>
            </w:r>
          </w:p>
        </w:tc>
        <w:tc>
          <w:tcPr>
            <w:tcW w:type="dxa" w:w="1587"/>
          </w:tcPr>
          <w:p>
            <w:r>
              <w:rPr>
                <w:b w:val="0"/>
                <w:sz w:val="17"/>
              </w:rPr>
              <w:t>2022-01</w:t>
            </w:r>
            <w:hyperlink r:id="rId142">
              <w:r>
                <w:rPr>
                  <w:color w:val="DC1E34"/>
                  <w:vertAlign w:val="superscript"/>
                </w:rPr>
                <w:t xml:space="preserve">131</w:t>
              </w:r>
            </w:hyperlink>
          </w:p>
        </w:tc>
      </w:tr>
      <w:tr>
        <w:trPr>
          <w:cantSplit/>
        </w:trPr>
        <w:tc>
          <w:tcPr>
            <w:tcW w:type="dxa" w:w="2381"/>
          </w:tcPr>
          <w:p>
            <w:r>
              <w:rPr>
                <w:b/>
                <w:sz w:val="17"/>
              </w:rPr>
              <w:t>Johns Hopkins (University)</w:t>
            </w:r>
          </w:p>
        </w:tc>
        <w:tc>
          <w:tcPr>
            <w:tcW w:type="dxa" w:w="2721"/>
          </w:tcPr>
          <w:p>
            <w:r>
              <w:rPr>
                <w:b w:val="0"/>
                <w:sz w:val="17"/>
              </w:rPr>
              <w:t>College of Nursing, Christian Medical College Vellore</w:t>
            </w:r>
          </w:p>
        </w:tc>
        <w:tc>
          <w:tcPr>
            <w:tcW w:type="dxa" w:w="1928"/>
          </w:tcPr>
          <w:p>
            <w:r>
              <w:rPr>
                <w:b w:val="0"/>
                <w:sz w:val="17"/>
              </w:rPr>
              <w:t>Training and education</w:t>
            </w:r>
          </w:p>
        </w:tc>
        <w:tc>
          <w:tcPr>
            <w:tcW w:type="dxa" w:w="1020"/>
          </w:tcPr>
          <w:p>
            <w:r>
              <w:rPr>
                <w:b/>
                <w:sz w:val="17"/>
              </w:rPr>
              <w:t>Unclear</w:t>
            </w:r>
          </w:p>
        </w:tc>
        <w:tc>
          <w:tcPr>
            <w:tcW w:type="dxa" w:w="1587"/>
          </w:tcPr>
          <w:p>
            <w:r>
              <w:rPr>
                <w:b w:val="0"/>
                <w:sz w:val="17"/>
              </w:rPr>
              <w:t>2024-10</w:t>
            </w:r>
            <w:hyperlink r:id="rId143">
              <w:r>
                <w:rPr>
                  <w:color w:val="DC1E34"/>
                  <w:vertAlign w:val="superscript"/>
                </w:rPr>
                <w:t xml:space="preserve">132</w:t>
              </w:r>
            </w:hyperlink>
          </w:p>
        </w:tc>
      </w:tr>
      <w:tr>
        <w:trPr>
          <w:cantSplit/>
        </w:trPr>
        <w:tc>
          <w:tcPr>
            <w:tcW w:type="dxa" w:w="2381"/>
          </w:tcPr>
          <w:p>
            <w:r>
              <w:rPr>
                <w:b/>
                <w:sz w:val="17"/>
              </w:rPr>
              <w:t>Mayo Clinic</w:t>
            </w:r>
          </w:p>
        </w:tc>
        <w:tc>
          <w:tcPr>
            <w:tcW w:type="dxa" w:w="2721"/>
          </w:tcPr>
          <w:p>
            <w:r>
              <w:rPr>
                <w:b w:val="0"/>
                <w:sz w:val="17"/>
              </w:rPr>
              <w:t>AIG Hospitals, Hyderabad</w:t>
            </w:r>
          </w:p>
        </w:tc>
        <w:tc>
          <w:tcPr>
            <w:tcW w:type="dxa" w:w="1928"/>
          </w:tcPr>
          <w:p>
            <w:r>
              <w:rPr>
                <w:b w:val="0"/>
                <w:sz w:val="17"/>
              </w:rPr>
              <w:t>Clinical affiliation or network membership</w:t>
            </w:r>
          </w:p>
        </w:tc>
        <w:tc>
          <w:tcPr>
            <w:tcW w:type="dxa" w:w="1020"/>
          </w:tcPr>
          <w:p>
            <w:r>
              <w:rPr>
                <w:b/>
                <w:sz w:val="17"/>
              </w:rPr>
              <w:t>Unclear</w:t>
            </w:r>
          </w:p>
        </w:tc>
        <w:tc>
          <w:tcPr>
            <w:tcW w:type="dxa" w:w="1587"/>
          </w:tcPr>
          <w:p>
            <w:r>
              <w:rPr>
                <w:b w:val="0"/>
                <w:sz w:val="17"/>
              </w:rPr>
              <w:t>2025-02</w:t>
            </w:r>
            <w:hyperlink r:id="rId144">
              <w:r>
                <w:rPr>
                  <w:color w:val="DC1E34"/>
                  <w:vertAlign w:val="superscript"/>
                </w:rPr>
                <w:t xml:space="preserve">133</w:t>
              </w:r>
            </w:hyperlink>
          </w:p>
        </w:tc>
      </w:tr>
      <w:tr>
        <w:trPr>
          <w:cantSplit/>
        </w:trPr>
        <w:tc>
          <w:tcPr>
            <w:tcW w:type="dxa" w:w="2381"/>
          </w:tcPr>
          <w:p>
            <w:r>
              <w:rPr>
                <w:b/>
                <w:sz w:val="17"/>
              </w:rPr>
              <w:t>Memorial Sloan Kettering</w:t>
            </w:r>
          </w:p>
        </w:tc>
        <w:tc>
          <w:tcPr>
            <w:tcW w:type="dxa" w:w="2721"/>
          </w:tcPr>
          <w:p>
            <w:r>
              <w:rPr>
                <w:b w:val="0"/>
                <w:sz w:val="17"/>
              </w:rPr>
              <w:t>iCliniq, Chennai (MSKCC India)</w:t>
            </w:r>
          </w:p>
        </w:tc>
        <w:tc>
          <w:tcPr>
            <w:tcW w:type="dxa" w:w="1928"/>
          </w:tcPr>
          <w:p>
            <w:r>
              <w:rPr>
                <w:b w:val="0"/>
                <w:sz w:val="17"/>
              </w:rPr>
              <w:t>Telemedicine or second opinion</w:t>
            </w:r>
          </w:p>
        </w:tc>
        <w:tc>
          <w:tcPr>
            <w:tcW w:type="dxa" w:w="1020"/>
          </w:tcPr>
          <w:p>
            <w:r>
              <w:rPr>
                <w:b/>
                <w:sz w:val="17"/>
              </w:rPr>
              <w:t>Unclear</w:t>
            </w:r>
          </w:p>
        </w:tc>
        <w:tc>
          <w:tcPr>
            <w:tcW w:type="dxa" w:w="1587"/>
          </w:tcPr>
          <w:p>
            <w:r>
              <w:rPr>
                <w:b w:val="0"/>
                <w:sz w:val="17"/>
              </w:rPr>
              <w:t>2021-08</w:t>
            </w:r>
            <w:hyperlink r:id="rId145">
              <w:r>
                <w:rPr>
                  <w:color w:val="DC1E34"/>
                  <w:vertAlign w:val="superscript"/>
                </w:rPr>
                <w:t xml:space="preserve">134</w:t>
              </w:r>
            </w:hyperlink>
          </w:p>
        </w:tc>
      </w:tr>
      <w:tr>
        <w:trPr>
          <w:cantSplit/>
        </w:trPr>
        <w:tc>
          <w:tcPr>
            <w:tcW w:type="dxa" w:w="2381"/>
          </w:tcPr>
          <w:p>
            <w:r>
              <w:rPr>
                <w:b/>
                <w:sz w:val="17"/>
              </w:rPr>
              <w:t>Northwell Health (Center for Global Health)</w:t>
            </w:r>
          </w:p>
        </w:tc>
        <w:tc>
          <w:tcPr>
            <w:tcW w:type="dxa" w:w="2721"/>
          </w:tcPr>
          <w:p>
            <w:r>
              <w:rPr>
                <w:b w:val="0"/>
                <w:sz w:val="17"/>
              </w:rPr>
              <w:t>Christian Medical College (CMC) Vellore</w:t>
            </w:r>
          </w:p>
        </w:tc>
        <w:tc>
          <w:tcPr>
            <w:tcW w:type="dxa" w:w="1928"/>
          </w:tcPr>
          <w:p>
            <w:r>
              <w:rPr>
                <w:b w:val="0"/>
                <w:sz w:val="17"/>
              </w:rPr>
              <w:t>Clinical affiliation or network membership</w:t>
            </w:r>
          </w:p>
        </w:tc>
        <w:tc>
          <w:tcPr>
            <w:tcW w:type="dxa" w:w="1020"/>
          </w:tcPr>
          <w:p>
            <w:r>
              <w:rPr>
                <w:b/>
                <w:sz w:val="17"/>
              </w:rPr>
              <w:t>Unclear</w:t>
            </w:r>
          </w:p>
        </w:tc>
        <w:tc>
          <w:tcPr>
            <w:tcW w:type="dxa" w:w="1587"/>
          </w:tcPr>
          <w:p>
            <w:r>
              <w:rPr>
                <w:b w:val="0"/>
                <w:sz w:val="17"/>
              </w:rPr>
              <w:t>2023-03</w:t>
            </w:r>
            <w:hyperlink r:id="rId146">
              <w:r>
                <w:rPr>
                  <w:color w:val="DC1E34"/>
                  <w:vertAlign w:val="superscript"/>
                </w:rPr>
                <w:t xml:space="preserve">135</w:t>
              </w:r>
            </w:hyperlink>
          </w:p>
        </w:tc>
      </w:tr>
      <w:tr>
        <w:trPr>
          <w:cantSplit/>
        </w:trPr>
        <w:tc>
          <w:tcPr>
            <w:tcW w:type="dxa" w:w="2381"/>
          </w:tcPr>
          <w:p>
            <w:r>
              <w:rPr>
                <w:b/>
                <w:sz w:val="17"/>
              </w:rPr>
              <w:t>Johns Hopkins (Medicine International)</w:t>
            </w:r>
          </w:p>
        </w:tc>
        <w:tc>
          <w:tcPr>
            <w:tcW w:type="dxa" w:w="2721"/>
          </w:tcPr>
          <w:p>
            <w:r>
              <w:rPr>
                <w:b w:val="0"/>
                <w:sz w:val="17"/>
              </w:rPr>
              <w:t>HCL Healthcare</w:t>
            </w:r>
          </w:p>
        </w:tc>
        <w:tc>
          <w:tcPr>
            <w:tcW w:type="dxa" w:w="1928"/>
          </w:tcPr>
          <w:p>
            <w:r>
              <w:rPr>
                <w:b w:val="0"/>
                <w:sz w:val="17"/>
              </w:rPr>
              <w:t>Consulting or management</w:t>
            </w:r>
          </w:p>
        </w:tc>
        <w:tc>
          <w:tcPr>
            <w:tcW w:type="dxa" w:w="1020"/>
          </w:tcPr>
          <w:p>
            <w:r>
              <w:rPr>
                <w:b/>
                <w:sz w:val="17"/>
              </w:rPr>
              <w:t>Ended 2024</w:t>
            </w:r>
          </w:p>
        </w:tc>
        <w:tc>
          <w:tcPr>
            <w:tcW w:type="dxa" w:w="1587"/>
          </w:tcPr>
          <w:p>
            <w:r>
              <w:rPr>
                <w:b w:val="0"/>
                <w:sz w:val="17"/>
              </w:rPr>
              <w:t>2014-02</w:t>
            </w:r>
            <w:hyperlink r:id="rId147">
              <w:r>
                <w:rPr>
                  <w:color w:val="DC1E34"/>
                  <w:vertAlign w:val="superscript"/>
                </w:rPr>
                <w:t xml:space="preserve">136</w:t>
              </w:r>
            </w:hyperlink>
          </w:p>
        </w:tc>
      </w:tr>
      <w:tr>
        <w:trPr>
          <w:cantSplit/>
        </w:trPr>
        <w:tc>
          <w:tcPr>
            <w:tcW w:type="dxa" w:w="2381"/>
          </w:tcPr>
          <w:p>
            <w:r>
              <w:rPr>
                <w:b/>
                <w:sz w:val="17"/>
              </w:rPr>
              <w:t>MD Anderson Cancer Center</w:t>
            </w:r>
          </w:p>
        </w:tc>
        <w:tc>
          <w:tcPr>
            <w:tcW w:type="dxa" w:w="2721"/>
          </w:tcPr>
          <w:p>
            <w:r>
              <w:rPr>
                <w:b w:val="0"/>
                <w:sz w:val="17"/>
              </w:rPr>
              <w:t>Tata Memorial Hospital, Mumbai (Project ECHO Palliative Care Africa II)</w:t>
            </w:r>
          </w:p>
        </w:tc>
        <w:tc>
          <w:tcPr>
            <w:tcW w:type="dxa" w:w="1928"/>
          </w:tcPr>
          <w:p>
            <w:r>
              <w:rPr>
                <w:b w:val="0"/>
                <w:sz w:val="17"/>
              </w:rPr>
              <w:t>Training and education</w:t>
            </w:r>
          </w:p>
        </w:tc>
        <w:tc>
          <w:tcPr>
            <w:tcW w:type="dxa" w:w="1020"/>
          </w:tcPr>
          <w:p>
            <w:r>
              <w:rPr>
                <w:b/>
                <w:sz w:val="17"/>
              </w:rPr>
              <w:t>Ended 2025</w:t>
            </w:r>
          </w:p>
        </w:tc>
        <w:tc>
          <w:tcPr>
            <w:tcW w:type="dxa" w:w="1587"/>
          </w:tcPr>
          <w:p>
            <w:r>
              <w:rPr>
                <w:b w:val="0"/>
                <w:sz w:val="17"/>
              </w:rPr>
              <w:t>2025-01</w:t>
            </w:r>
            <w:hyperlink r:id="rId148">
              <w:r>
                <w:rPr>
                  <w:color w:val="DC1E34"/>
                  <w:vertAlign w:val="superscript"/>
                </w:rPr>
                <w:t xml:space="preserve">137</w:t>
              </w:r>
            </w:hyperlink>
          </w:p>
        </w:tc>
      </w:tr>
      <w:tr>
        <w:trPr>
          <w:cantSplit/>
        </w:trPr>
        <w:tc>
          <w:tcPr>
            <w:tcW w:type="dxa" w:w="1587"/>
            <w:gridSpan w:val="5"/>
            <w:shd w:val="clear" w:color="auto" w:fill="F6E3E4"/>
          </w:tcPr>
          <w:p>
            <w:r>
              <w:rPr>
                <w:b/>
                <w:color w:val="DC1E34"/>
                <w:sz w:val="18"/>
              </w:rPr>
              <w:t>Other foreign health systems</w:t>
            </w:r>
          </w:p>
        </w:tc>
      </w:tr>
      <w:tr>
        <w:trPr>
          <w:cantSplit/>
        </w:trPr>
        <w:tc>
          <w:tcPr>
            <w:tcW w:type="dxa" w:w="2381"/>
          </w:tcPr>
          <w:p>
            <w:r>
              <w:rPr>
                <w:b/>
                <w:sz w:val="17"/>
              </w:rPr>
              <w:t>Cambridge University Hospitals NHS Foundation Trust (with Cambridge Global Health Partnerships)</w:t>
            </w:r>
          </w:p>
        </w:tc>
        <w:tc>
          <w:tcPr>
            <w:tcW w:type="dxa" w:w="2721"/>
          </w:tcPr>
          <w:p>
            <w:r>
              <w:rPr>
                <w:b w:val="0"/>
                <w:sz w:val="17"/>
              </w:rPr>
              <w:t>Himalayan Hospital (Dehradun) and Ganga Prem Hospice, Rishikesh, via Rama Foundation</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2025-08</w:t>
            </w:r>
            <w:hyperlink r:id="rId149">
              <w:r>
                <w:rPr>
                  <w:color w:val="DC1E34"/>
                  <w:vertAlign w:val="superscript"/>
                </w:rPr>
                <w:t xml:space="preserve">138</w:t>
              </w:r>
            </w:hyperlink>
          </w:p>
        </w:tc>
      </w:tr>
      <w:tr>
        <w:trPr>
          <w:cantSplit/>
        </w:trPr>
        <w:tc>
          <w:tcPr>
            <w:tcW w:type="dxa" w:w="2381"/>
          </w:tcPr>
          <w:p>
            <w:r>
              <w:rPr>
                <w:b/>
                <w:sz w:val="17"/>
              </w:rPr>
              <w:t>Juntendo University (Tokyo)</w:t>
            </w:r>
          </w:p>
        </w:tc>
        <w:tc>
          <w:tcPr>
            <w:tcW w:type="dxa" w:w="2721"/>
          </w:tcPr>
          <w:p>
            <w:r>
              <w:rPr>
                <w:b w:val="0"/>
                <w:sz w:val="17"/>
              </w:rPr>
              <w:t>Saint Hardyal Educational and Orphans' Welfare Society (SHEOWS),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2026-08</w:t>
            </w:r>
            <w:hyperlink r:id="rId150">
              <w:r>
                <w:rPr>
                  <w:color w:val="DC1E34"/>
                  <w:vertAlign w:val="superscript"/>
                </w:rPr>
                <w:t xml:space="preserve">139</w:t>
              </w:r>
            </w:hyperlink>
          </w:p>
        </w:tc>
      </w:tr>
      <w:tr>
        <w:trPr>
          <w:cantSplit/>
        </w:trPr>
        <w:tc>
          <w:tcPr>
            <w:tcW w:type="dxa" w:w="2381"/>
          </w:tcPr>
          <w:p>
            <w:r>
              <w:rPr>
                <w:b/>
                <w:sz w:val="17"/>
              </w:rPr>
              <w:t>King's College London and Guy's and St Thomas' NHS Foundation Trust</w:t>
            </w:r>
          </w:p>
        </w:tc>
        <w:tc>
          <w:tcPr>
            <w:tcW w:type="dxa" w:w="2721"/>
          </w:tcPr>
          <w:p>
            <w:r>
              <w:rPr>
                <w:b w:val="0"/>
                <w:sz w:val="17"/>
              </w:rPr>
              <w:t>P. D. Hinduja Hospital and Medical Research Centre, Mumbai (National Health &amp; Education Society)</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2026-05</w:t>
            </w:r>
            <w:hyperlink r:id="rId151">
              <w:r>
                <w:rPr>
                  <w:color w:val="DC1E34"/>
                  <w:vertAlign w:val="superscript"/>
                </w:rPr>
                <w:t xml:space="preserve">140</w:t>
              </w:r>
            </w:hyperlink>
          </w:p>
        </w:tc>
      </w:tr>
      <w:tr>
        <w:trPr>
          <w:cantSplit/>
        </w:trPr>
        <w:tc>
          <w:tcPr>
            <w:tcW w:type="dxa" w:w="2381"/>
          </w:tcPr>
          <w:p>
            <w:r>
              <w:rPr>
                <w:b/>
                <w:sz w:val="17"/>
              </w:rPr>
              <w:t>Monash University (Faculty of Information Technology)</w:t>
            </w:r>
          </w:p>
        </w:tc>
        <w:tc>
          <w:tcPr>
            <w:tcW w:type="dxa" w:w="2721"/>
          </w:tcPr>
          <w:p>
            <w:r>
              <w:rPr>
                <w:b w:val="0"/>
                <w:sz w:val="17"/>
              </w:rPr>
              <w:t>Apollo Hospitals and The Apollo University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2024-11</w:t>
            </w:r>
            <w:hyperlink r:id="rId152">
              <w:r>
                <w:rPr>
                  <w:color w:val="DC1E34"/>
                  <w:vertAlign w:val="superscript"/>
                </w:rPr>
                <w:t xml:space="preserve">141</w:t>
              </w:r>
            </w:hyperlink>
          </w:p>
        </w:tc>
      </w:tr>
      <w:tr>
        <w:trPr>
          <w:cantSplit/>
        </w:trPr>
        <w:tc>
          <w:tcPr>
            <w:tcW w:type="dxa" w:w="2381"/>
          </w:tcPr>
          <w:p>
            <w:r>
              <w:rPr>
                <w:b/>
                <w:sz w:val="17"/>
              </w:rPr>
              <w:t>SingHealth</w:t>
            </w:r>
          </w:p>
        </w:tc>
        <w:tc>
          <w:tcPr>
            <w:tcW w:type="dxa" w:w="2721"/>
          </w:tcPr>
          <w:p>
            <w:r>
              <w:rPr>
                <w:b w:val="0"/>
                <w:sz w:val="17"/>
              </w:rPr>
              <w:t>Athulya Senior Care, Chennai</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2026-04</w:t>
            </w:r>
            <w:hyperlink r:id="rId153">
              <w:r>
                <w:rPr>
                  <w:color w:val="DC1E34"/>
                  <w:vertAlign w:val="superscript"/>
                </w:rPr>
                <w:t xml:space="preserve">142</w:t>
              </w:r>
            </w:hyperlink>
          </w:p>
        </w:tc>
      </w:tr>
      <w:tr>
        <w:trPr>
          <w:cantSplit/>
        </w:trPr>
        <w:tc>
          <w:tcPr>
            <w:tcW w:type="dxa" w:w="2381"/>
          </w:tcPr>
          <w:p>
            <w:r>
              <w:rPr>
                <w:b/>
                <w:sz w:val="17"/>
              </w:rPr>
              <w:t>University College London</w:t>
            </w:r>
          </w:p>
        </w:tc>
        <w:tc>
          <w:tcPr>
            <w:tcW w:type="dxa" w:w="2721"/>
          </w:tcPr>
          <w:p>
            <w:r>
              <w:rPr>
                <w:b w:val="0"/>
                <w:sz w:val="17"/>
              </w:rPr>
              <w:t>AIIMS New Delhi and IIT Delhi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2025-11</w:t>
            </w:r>
            <w:hyperlink r:id="rId154">
              <w:r>
                <w:rPr>
                  <w:color w:val="DC1E34"/>
                  <w:vertAlign w:val="superscript"/>
                </w:rPr>
                <w:t xml:space="preserve">143</w:t>
              </w:r>
            </w:hyperlink>
          </w:p>
        </w:tc>
      </w:tr>
      <w:tr>
        <w:trPr>
          <w:cantSplit/>
        </w:trPr>
        <w:tc>
          <w:tcPr>
            <w:tcW w:type="dxa" w:w="2381"/>
          </w:tcPr>
          <w:p>
            <w:r>
              <w:rPr>
                <w:b/>
                <w:sz w:val="17"/>
              </w:rPr>
              <w:t>University of Leicester and University Hospitals of Leicester NHS Trust</w:t>
            </w:r>
          </w:p>
        </w:tc>
        <w:tc>
          <w:tcPr>
            <w:tcW w:type="dxa" w:w="2721"/>
          </w:tcPr>
          <w:p>
            <w:r>
              <w:rPr>
                <w:b w:val="0"/>
                <w:sz w:val="17"/>
              </w:rPr>
              <w:t>Apollo Hospitals and The Apollo University</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2026-07</w:t>
            </w:r>
            <w:hyperlink r:id="rId155">
              <w:r>
                <w:rPr>
                  <w:color w:val="DC1E34"/>
                  <w:vertAlign w:val="superscript"/>
                </w:rPr>
                <w:t xml:space="preserve">144</w:t>
              </w:r>
            </w:hyperlink>
          </w:p>
        </w:tc>
      </w:tr>
      <w:tr>
        <w:trPr>
          <w:cantSplit/>
        </w:trPr>
        <w:tc>
          <w:tcPr>
            <w:tcW w:type="dxa" w:w="2381"/>
          </w:tcPr>
          <w:p>
            <w:r>
              <w:rPr>
                <w:b/>
                <w:sz w:val="17"/>
              </w:rPr>
              <w:t>University of Leicester, University Hospitals of Leicester NHS Trust and BAPIO Training Academy</w:t>
            </w:r>
          </w:p>
        </w:tc>
        <w:tc>
          <w:tcPr>
            <w:tcW w:type="dxa" w:w="2721"/>
          </w:tcPr>
          <w:p>
            <w:r>
              <w:rPr>
                <w:b w:val="0"/>
                <w:sz w:val="17"/>
              </w:rPr>
              <w:t>Apollo Health Resources (Apollo Hospitals)</w:t>
            </w:r>
          </w:p>
        </w:tc>
        <w:tc>
          <w:tcPr>
            <w:tcW w:type="dxa" w:w="1928"/>
          </w:tcPr>
          <w:p>
            <w:r>
              <w:rPr>
                <w:b w:val="0"/>
                <w:sz w:val="17"/>
              </w:rPr>
              <w:t>Training and education</w:t>
            </w:r>
          </w:p>
        </w:tc>
        <w:tc>
          <w:tcPr>
            <w:tcW w:type="dxa" w:w="1020"/>
          </w:tcPr>
          <w:p>
            <w:r>
              <w:rPr>
                <w:b/>
                <w:sz w:val="17"/>
              </w:rPr>
              <w:t>Active</w:t>
            </w:r>
          </w:p>
        </w:tc>
        <w:tc>
          <w:tcPr>
            <w:tcW w:type="dxa" w:w="1587"/>
          </w:tcPr>
          <w:p>
            <w:r>
              <w:rPr>
                <w:b w:val="0"/>
                <w:sz w:val="17"/>
              </w:rPr>
              <w:t>2026-07</w:t>
            </w:r>
            <w:hyperlink r:id="rId155">
              <w:r>
                <w:rPr>
                  <w:color w:val="DC1E34"/>
                  <w:vertAlign w:val="superscript"/>
                </w:rPr>
                <w:t xml:space="preserve">144</w:t>
              </w:r>
            </w:hyperlink>
          </w:p>
        </w:tc>
      </w:tr>
      <w:tr>
        <w:trPr>
          <w:cantSplit/>
        </w:trPr>
        <w:tc>
          <w:tcPr>
            <w:tcW w:type="dxa" w:w="2381"/>
          </w:tcPr>
          <w:p>
            <w:r>
              <w:rPr>
                <w:b/>
                <w:sz w:val="17"/>
              </w:rPr>
              <w:t>University of Liverpool</w:t>
            </w:r>
          </w:p>
        </w:tc>
        <w:tc>
          <w:tcPr>
            <w:tcW w:type="dxa" w:w="2721"/>
          </w:tcPr>
          <w:p>
            <w:r>
              <w:rPr>
                <w:b w:val="0"/>
                <w:sz w:val="17"/>
              </w:rPr>
              <w:t>Saveetha Institute of Medical and Technical Sciences (SIMATS), Chennai</w:t>
            </w:r>
          </w:p>
        </w:tc>
        <w:tc>
          <w:tcPr>
            <w:tcW w:type="dxa" w:w="1928"/>
          </w:tcPr>
          <w:p>
            <w:r>
              <w:rPr>
                <w:b w:val="0"/>
                <w:sz w:val="17"/>
              </w:rPr>
              <w:t>Research collaboration</w:t>
            </w:r>
          </w:p>
        </w:tc>
        <w:tc>
          <w:tcPr>
            <w:tcW w:type="dxa" w:w="1020"/>
          </w:tcPr>
          <w:p>
            <w:r>
              <w:rPr>
                <w:b/>
                <w:sz w:val="17"/>
              </w:rPr>
              <w:t>Active</w:t>
            </w:r>
          </w:p>
        </w:tc>
        <w:tc>
          <w:tcPr>
            <w:tcW w:type="dxa" w:w="1587"/>
          </w:tcPr>
          <w:p>
            <w:r>
              <w:rPr>
                <w:b w:val="0"/>
                <w:sz w:val="17"/>
              </w:rPr>
              <w:t>2025-07</w:t>
            </w:r>
            <w:hyperlink r:id="rId156">
              <w:r>
                <w:rPr>
                  <w:color w:val="DC1E34"/>
                  <w:vertAlign w:val="superscript"/>
                </w:rPr>
                <w:t xml:space="preserve">145</w:t>
              </w:r>
            </w:hyperlink>
          </w:p>
        </w:tc>
      </w:tr>
      <w:tr>
        <w:trPr>
          <w:cantSplit/>
        </w:trPr>
        <w:tc>
          <w:tcPr>
            <w:tcW w:type="dxa" w:w="2381"/>
          </w:tcPr>
          <w:p>
            <w:r>
              <w:rPr>
                <w:b/>
                <w:sz w:val="17"/>
              </w:rPr>
              <w:t>LMU Klinikum (University Hospital Munich)</w:t>
            </w:r>
          </w:p>
        </w:tc>
        <w:tc>
          <w:tcPr>
            <w:tcW w:type="dxa" w:w="2721"/>
          </w:tcPr>
          <w:p>
            <w:r>
              <w:rPr>
                <w:b w:val="0"/>
                <w:sz w:val="17"/>
              </w:rPr>
              <w:t>AIIMS New Delhi</w:t>
            </w:r>
          </w:p>
        </w:tc>
        <w:tc>
          <w:tcPr>
            <w:tcW w:type="dxa" w:w="1928"/>
          </w:tcPr>
          <w:p>
            <w:r>
              <w:rPr>
                <w:b w:val="0"/>
                <w:sz w:val="17"/>
              </w:rPr>
              <w:t>Research collaboration</w:t>
            </w:r>
          </w:p>
        </w:tc>
        <w:tc>
          <w:tcPr>
            <w:tcW w:type="dxa" w:w="1020"/>
          </w:tcPr>
          <w:p>
            <w:r>
              <w:rPr>
                <w:b/>
                <w:sz w:val="17"/>
              </w:rPr>
              <w:t>Unclear</w:t>
            </w:r>
          </w:p>
        </w:tc>
        <w:tc>
          <w:tcPr>
            <w:tcW w:type="dxa" w:w="1587"/>
          </w:tcPr>
          <w:p>
            <w:r>
              <w:rPr>
                <w:b w:val="0"/>
                <w:sz w:val="17"/>
              </w:rPr>
              <w:t>2023-09</w:t>
            </w:r>
            <w:hyperlink r:id="rId157">
              <w:r>
                <w:rPr>
                  <w:color w:val="DC1E34"/>
                  <w:vertAlign w:val="superscript"/>
                </w:rPr>
                <w:t xml:space="preserve">146</w:t>
              </w:r>
            </w:hyperlink>
          </w:p>
        </w:tc>
      </w:tr>
      <w:tr>
        <w:trPr>
          <w:cantSplit/>
        </w:trPr>
        <w:tc>
          <w:tcPr>
            <w:tcW w:type="dxa" w:w="2381"/>
          </w:tcPr>
          <w:p>
            <w:r>
              <w:rPr>
                <w:b/>
                <w:sz w:val="17"/>
              </w:rPr>
              <w:t>University of Bolton Institute of Medicine (now University of Greater Manchester Medical School)</w:t>
            </w:r>
          </w:p>
        </w:tc>
        <w:tc>
          <w:tcPr>
            <w:tcW w:type="dxa" w:w="2721"/>
          </w:tcPr>
          <w:p>
            <w:r>
              <w:rPr>
                <w:b w:val="0"/>
                <w:sz w:val="17"/>
              </w:rPr>
              <w:t>AIIMS New Delhi</w:t>
            </w:r>
          </w:p>
        </w:tc>
        <w:tc>
          <w:tcPr>
            <w:tcW w:type="dxa" w:w="1928"/>
          </w:tcPr>
          <w:p>
            <w:r>
              <w:rPr>
                <w:b w:val="0"/>
                <w:sz w:val="17"/>
              </w:rPr>
              <w:t>Research collaboration</w:t>
            </w:r>
          </w:p>
        </w:tc>
        <w:tc>
          <w:tcPr>
            <w:tcW w:type="dxa" w:w="1020"/>
          </w:tcPr>
          <w:p>
            <w:r>
              <w:rPr>
                <w:b/>
                <w:sz w:val="17"/>
              </w:rPr>
              <w:t>Unclear</w:t>
            </w:r>
          </w:p>
        </w:tc>
        <w:tc>
          <w:tcPr>
            <w:tcW w:type="dxa" w:w="1587"/>
          </w:tcPr>
          <w:p>
            <w:r>
              <w:rPr>
                <w:b w:val="0"/>
                <w:sz w:val="17"/>
              </w:rPr>
              <w:t>2024-05</w:t>
            </w:r>
            <w:hyperlink r:id="rId158">
              <w:r>
                <w:rPr>
                  <w:color w:val="DC1E34"/>
                  <w:vertAlign w:val="superscript"/>
                </w:rPr>
                <w:t xml:space="preserve">147</w:t>
              </w:r>
            </w:hyperlink>
          </w:p>
        </w:tc>
      </w:tr>
    </w:tbl>
    <w:p>
      <w:pPr>
        <w:spacing w:after="40"/>
      </w:pPr>
    </w:p>
    <w:p>
      <w:r>
        <w:t>India also competes for international patients. Medical-purpose arrivals were 6.44 lakh in 2024, led by Bangladesh with about 4.8 lakh, followed by Iraq, Somalia, Oman and Uzbekistan.</w:t>
      </w:r>
      <w:hyperlink r:id="rId114">
        <w:r>
          <w:rPr>
            <w:color w:val="DC1E34"/>
            <w:vertAlign w:val="superscript"/>
          </w:rPr>
          <w:t xml:space="preserve">104,</w:t>
        </w:r>
      </w:hyperlink>
      <w:hyperlink r:id="rId115">
        <w:r>
          <w:rPr>
            <w:color w:val="DC1E34"/>
            <w:vertAlign w:val="superscript"/>
          </w:rPr>
          <w:t xml:space="preserve">105</w:t>
        </w:r>
      </w:hyperlink>
      <w:r>
        <w:t xml:space="preserve"> Indian chains market lower-cost complex care to the same Gulf, African and Central Asian patients that US centers pursue, and the Union Budget 2026-27 backs five regional medical hubs to strengthen that position.</w:t>
      </w:r>
      <w:hyperlink r:id="rId46">
        <w:r>
          <w:rPr>
            <w:color w:val="DC1E34"/>
            <w:vertAlign w:val="superscript"/>
          </w:rPr>
          <w:t xml:space="preserve">36,</w:t>
        </w:r>
      </w:hyperlink>
      <w:hyperlink r:id="rId114">
        <w:r>
          <w:rPr>
            <w:color w:val="DC1E34"/>
            <w:vertAlign w:val="superscript"/>
          </w:rPr>
          <w:t xml:space="preserve">104,</w:t>
        </w:r>
      </w:hyperlink>
      <w:hyperlink r:id="rId115">
        <w:r>
          <w:rPr>
            <w:color w:val="DC1E34"/>
            <w:vertAlign w:val="superscript"/>
          </w:rPr>
          <w:t xml:space="preserve">105</w:t>
        </w:r>
      </w:hyperlink>
    </w:p>
    <w:p>
      <w:pPr>
        <w:pStyle w:val="Heading1"/>
        <w:keepNext/>
      </w:pPr>
      <w:bookmarkStart w:id="14" w:name="_sec14"/>
      <w:r>
        <w:rPr>
          <w:color w:val="DC1E34"/>
        </w:rPr>
        <w:t>Recent Developments</w:t>
      </w:r>
      <w:bookmarkEnd w:id="14"/>
    </w:p>
    <w:p>
      <w:pPr>
        <w:spacing w:before="0" w:after="80"/>
        <w:keepNext/>
        <w:pBdr>
          <w:bottom w:val="single" w:sz="12" w:space="1" w:color="DC1E34"/>
        </w:pBdr>
      </w:pPr>
    </w:p>
    <w:p>
      <w:pPr>
        <w:spacing w:after="40"/>
      </w:pPr>
      <w:r>
        <w:rPr>
          <w:b/>
          <w:color w:val="DC1E34"/>
        </w:rPr>
        <w:t xml:space="preserve">2026-02-01  </w:t>
      </w:r>
      <w:r>
        <w:rPr>
          <w:b/>
        </w:rPr>
        <w:t>Union Budget 2026-27 raises health allocation nearly 10% and backs five regional medical hubs</w:t>
      </w:r>
    </w:p>
    <w:p>
      <w:pPr>
        <w:spacing w:after="240"/>
      </w:pPr>
      <w:r>
        <w:t xml:space="preserve">The Health Ministry received Rs 1,06,530.42 crore (US$11.2 billion), nearly 10 percent above the previous year's revised estimate, including Rs 39,390 crore (US$4.15 billion) for the National Health Mission and Rs 9,500 crore (US$1 billion) for PM-JAY.</w:t>
      </w:r>
      <w:hyperlink r:id="rId45">
        <w:r>
          <w:rPr>
            <w:color w:val="DC1E34"/>
            <w:vertAlign w:val="superscript"/>
          </w:rPr>
          <w:t xml:space="preserve">35</w:t>
        </w:r>
      </w:hyperlink>
      <w:r>
        <w:t xml:space="preserve"> The budget also backed five regional medical hubs and plans to add 1 lakh allied health professionals and train 1.5 lakh caregivers.</w:t>
      </w:r>
      <w:hyperlink r:id="rId45">
        <w:r>
          <w:rPr>
            <w:color w:val="DC1E34"/>
            <w:vertAlign w:val="superscript"/>
          </w:rPr>
          <w:t xml:space="preserve">35,</w:t>
        </w:r>
      </w:hyperlink>
      <w:hyperlink r:id="rId46">
        <w:r>
          <w:rPr>
            <w:color w:val="DC1E34"/>
            <w:vertAlign w:val="superscript"/>
          </w:rPr>
          <w:t xml:space="preserve">36</w:t>
        </w:r>
      </w:hyperlink>
    </w:p>
    <w:p>
      <w:pPr>
        <w:spacing w:after="40"/>
      </w:pPr>
      <w:r>
        <w:rPr>
          <w:b/>
          <w:color w:val="DC1E34"/>
        </w:rPr>
        <w:t xml:space="preserve">2026-05-12  </w:t>
      </w:r>
      <w:r>
        <w:rPr>
          <w:b/>
        </w:rPr>
        <w:t>NEET-UG 2026 cancelled over alleged paper leak; re-examination held on 21 June</w:t>
      </w:r>
    </w:p>
    <w:p>
      <w:pPr>
        <w:spacing w:after="240"/>
      </w:pPr>
      <w:r>
        <w:t>The National Testing Agency cancelled the 3 May 2026 NEET-UG examination on 12 May over alleged irregularities, including a reported paper leak, and the government referred the case to the CBI.</w:t>
      </w:r>
      <w:hyperlink r:id="rId103">
        <w:r>
          <w:rPr>
            <w:color w:val="DC1E34"/>
            <w:vertAlign w:val="superscript"/>
          </w:rPr>
          <w:t xml:space="preserve">93,</w:t>
        </w:r>
      </w:hyperlink>
      <w:hyperlink r:id="rId104">
        <w:r>
          <w:rPr>
            <w:color w:val="DC1E34"/>
            <w:vertAlign w:val="superscript"/>
          </w:rPr>
          <w:t xml:space="preserve">94</w:t>
        </w:r>
      </w:hyperlink>
      <w:r>
        <w:t xml:space="preserve"> Close to 20 lakh candidates sat the re-examination on 21 June, and 11.21 lakh qualified when results were declared on 16 July 2026.</w:t>
      </w:r>
      <w:hyperlink r:id="rId102">
        <w:r>
          <w:rPr>
            <w:color w:val="DC1E34"/>
            <w:vertAlign w:val="superscript"/>
          </w:rPr>
          <w:t xml:space="preserve">92,</w:t>
        </w:r>
      </w:hyperlink>
      <w:hyperlink r:id="rId105">
        <w:r>
          <w:rPr>
            <w:color w:val="DC1E34"/>
            <w:vertAlign w:val="superscript"/>
          </w:rPr>
          <w:t xml:space="preserve">95</w:t>
        </w:r>
      </w:hyperlink>
    </w:p>
    <w:p>
      <w:pPr>
        <w:spacing w:after="40"/>
      </w:pPr>
      <w:r>
        <w:rPr>
          <w:b/>
          <w:color w:val="DC1E34"/>
        </w:rPr>
        <w:t xml:space="preserve">2026-06-08  </w:t>
      </w:r>
      <w:r>
        <w:rPr>
          <w:b/>
        </w:rPr>
        <w:t>West Bengal joins Ayushman Bharat PM-JAY, completing nationwide rollout</w:t>
      </w:r>
    </w:p>
    <w:p>
      <w:pPr>
        <w:spacing w:after="240"/>
      </w:pPr>
      <w:r>
        <w:t>West Bengal signed an MoU with the National Health Authority on 8 June 2026 and became the 36th and last state or union territory to implement PM-JAY.</w:t>
      </w:r>
      <w:hyperlink r:id="rId32">
        <w:r>
          <w:rPr>
            <w:color w:val="DC1E34"/>
            <w:vertAlign w:val="superscript"/>
          </w:rPr>
          <w:t xml:space="preserve">22,</w:t>
        </w:r>
      </w:hyperlink>
      <w:hyperlink r:id="rId159">
        <w:r>
          <w:rPr>
            <w:color w:val="DC1E34"/>
            <w:vertAlign w:val="superscript"/>
          </w:rPr>
          <w:t xml:space="preserve">148</w:t>
        </w:r>
      </w:hyperlink>
      <w:r>
        <w:t xml:space="preserve"> About 1.24 crore eligible families in the state gain up to Rs 5 lakh (US$5,270) a year in hospital cover.</w:t>
      </w:r>
      <w:hyperlink r:id="rId32">
        <w:r>
          <w:rPr>
            <w:color w:val="DC1E34"/>
            <w:vertAlign w:val="superscript"/>
          </w:rPr>
          <w:t xml:space="preserve">22</w:t>
        </w:r>
      </w:hyperlink>
    </w:p>
    <w:p>
      <w:pPr>
        <w:spacing w:after="40"/>
      </w:pPr>
      <w:r>
        <w:rPr>
          <w:b/>
          <w:color w:val="DC1E34"/>
        </w:rPr>
        <w:t xml:space="preserve">2026-06-10  </w:t>
      </w:r>
      <w:r>
        <w:rPr>
          <w:b/>
        </w:rPr>
        <w:t>Maharashtra signs MoU with Cleveland Clinic, Brookfield and Arodhan Health City for Navi Mumbai International MediCity</w:t>
      </w:r>
    </w:p>
    <w:p>
      <w:pPr>
        <w:spacing w:after="240"/>
      </w:pPr>
      <w:r>
        <w:t>Maharashtra signed an MoU at Cleveland Clinic's headquarters with Cleveland Clinic, Brookfield Asset Management and Arodhan Health City for a 250-acre healthcare, research, education and medical tourism hub near the new Navi Mumbai airport, with expected investment of about US$1.2 billion.</w:t>
      </w:r>
      <w:hyperlink r:id="rId34">
        <w:r>
          <w:rPr>
            <w:color w:val="DC1E34"/>
            <w:vertAlign w:val="superscript"/>
          </w:rPr>
          <w:t xml:space="preserve">24,</w:t>
        </w:r>
      </w:hyperlink>
      <w:hyperlink r:id="rId113">
        <w:r>
          <w:rPr>
            <w:color w:val="DC1E34"/>
            <w:vertAlign w:val="superscript"/>
          </w:rPr>
          <w:t xml:space="preserve">103,</w:t>
        </w:r>
      </w:hyperlink>
      <w:hyperlink r:id="rId160">
        <w:r>
          <w:rPr>
            <w:color w:val="DC1E34"/>
            <w:vertAlign w:val="superscript"/>
          </w:rPr>
          <w:t xml:space="preserve">149,</w:t>
        </w:r>
      </w:hyperlink>
      <w:hyperlink r:id="rId161">
        <w:r>
          <w:rPr>
            <w:color w:val="DC1E34"/>
            <w:vertAlign w:val="superscript"/>
          </w:rPr>
          <w:t xml:space="preserve">150</w:t>
        </w:r>
      </w:hyperlink>
      <w:r>
        <w:t xml:space="preserve"> Cleveland Clinic is named anchor institution, and the project is at MoU stage.</w:t>
      </w:r>
      <w:hyperlink r:id="rId34">
        <w:r>
          <w:rPr>
            <w:color w:val="DC1E34"/>
            <w:vertAlign w:val="superscript"/>
          </w:rPr>
          <w:t xml:space="preserve">24,</w:t>
        </w:r>
      </w:hyperlink>
      <w:hyperlink r:id="rId113">
        <w:r>
          <w:rPr>
            <w:color w:val="DC1E34"/>
            <w:vertAlign w:val="superscript"/>
          </w:rPr>
          <w:t xml:space="preserve">103</w:t>
        </w:r>
      </w:hyperlink>
    </w:p>
    <w:p>
      <w:pPr>
        <w:spacing w:after="40"/>
      </w:pPr>
      <w:r>
        <w:rPr>
          <w:b/>
          <w:color w:val="DC1E34"/>
        </w:rPr>
        <w:t xml:space="preserve">2026-08-05  </w:t>
      </w:r>
      <w:r>
        <w:rPr>
          <w:b/>
        </w:rPr>
        <w:t xml:space="preserve">Manipal Health Enterprises lists after Rs 9,275 crore (US$978 million) IPO</w:t>
      </w:r>
    </w:p>
    <w:p>
      <w:pPr>
        <w:spacing w:after="240"/>
      </w:pPr>
      <w:r>
        <w:t xml:space="preserve">Manipal Health Enterprises, with 49 hospitals and 13,037 licensed beds at 31 March 2026, listed on the NSE and BSE at about an 11 percent premium to its Rs 590 (US$6.22) issue price.</w:t>
      </w:r>
      <w:hyperlink r:id="rId72">
        <w:r>
          <w:rPr>
            <w:color w:val="DC1E34"/>
            <w:vertAlign w:val="superscript"/>
          </w:rPr>
          <w:t xml:space="preserve">62,</w:t>
        </w:r>
      </w:hyperlink>
      <w:hyperlink r:id="rId73">
        <w:r>
          <w:rPr>
            <w:color w:val="DC1E34"/>
            <w:vertAlign w:val="superscript"/>
          </w:rPr>
          <w:t xml:space="preserve">63,</w:t>
        </w:r>
      </w:hyperlink>
      <w:hyperlink r:id="rId162">
        <w:r>
          <w:rPr>
            <w:color w:val="DC1E34"/>
            <w:vertAlign w:val="superscript"/>
          </w:rPr>
          <w:t xml:space="preserve">151</w:t>
        </w:r>
      </w:hyperlink>
      <w:r>
        <w:t xml:space="preserve"> The Rs 9,275 crore (US$978 million) IPO was subscribed nearly five times, led by qualified institutional buyers.</w:t>
      </w:r>
      <w:hyperlink r:id="rId73">
        <w:r>
          <w:rPr>
            <w:color w:val="DC1E34"/>
            <w:vertAlign w:val="superscript"/>
          </w:rPr>
          <w:t xml:space="preserve">63</w:t>
        </w:r>
      </w:hyperlink>
    </w:p>
    <w:p>
      <w:pPr>
        <w:spacing w:after="40"/>
      </w:pPr>
      <w:r>
        <w:rPr>
          <w:b/>
          <w:color w:val="DC1E34"/>
        </w:rPr>
        <w:t xml:space="preserve">2026-08-06  </w:t>
      </w:r>
      <w:r>
        <w:rPr>
          <w:b/>
        </w:rPr>
        <w:t>KKR agrees to acquire Medicover India as Sweden's Medicover exits Indian hospitals</w:t>
      </w:r>
    </w:p>
    <w:p>
      <w:pPr>
        <w:spacing w:after="240"/>
      </w:pPr>
      <w:r>
        <w:t>KKR agreed to acquire Medicover India, 24 hospitals with about 4,800 beds in South and West India.</w:t>
      </w:r>
      <w:hyperlink r:id="rId84">
        <w:r>
          <w:rPr>
            <w:color w:val="DC1E34"/>
            <w:vertAlign w:val="superscript"/>
          </w:rPr>
          <w:t xml:space="preserve">74</w:t>
        </w:r>
      </w:hyperlink>
      <w:r>
        <w:t xml:space="preserve"> Medicover valued the business at EUR 1.2 billion (US$1.34 billion) and expects the deal to close in the fourth quarter of 2026, subject to approvals, as it leaves Indian hospitals to focus on Poland, Germany and Romania.</w:t>
      </w:r>
      <w:hyperlink r:id="rId163">
        <w:r>
          <w:rPr>
            <w:color w:val="DC1E34"/>
            <w:vertAlign w:val="superscript"/>
          </w:rPr>
          <w:t xml:space="preserve">152,</w:t>
        </w:r>
      </w:hyperlink>
      <w:hyperlink r:id="rId164">
        <w:r>
          <w:rPr>
            <w:color w:val="DC1E34"/>
            <w:vertAlign w:val="superscript"/>
          </w:rPr>
          <w:t xml:space="preserve">153</w:t>
        </w:r>
      </w:hyperlink>
    </w:p>
    <w:p>
      <w:pPr>
        <w:spacing w:after="40"/>
      </w:pPr>
      <w:r>
        <w:rPr>
          <w:b/>
          <w:color w:val="DC1E34"/>
        </w:rPr>
        <w:t xml:space="preserve">2026-09-23  </w:t>
      </w:r>
      <w:r>
        <w:rPr>
          <w:b/>
        </w:rPr>
        <w:t>Ayushman Bharat PM-JAY marks eight years with 13.25 crore funded hospital admissions</w:t>
      </w:r>
    </w:p>
    <w:p>
      <w:pPr>
        <w:spacing w:after="240"/>
      </w:pPr>
      <w:r>
        <w:t xml:space="preserve">On the scheme's eighth anniversary, the Health Minister and the National Health Authority reported 13.25 crore funded hospital admissions worth Rs 2.03 lakh crore (US$21.4 billion) through more than 38,000 empaneled hospitals.</w:t>
      </w:r>
      <w:hyperlink r:id="rId66">
        <w:r>
          <w:rPr>
            <w:color w:val="DC1E34"/>
            <w:vertAlign w:val="superscript"/>
          </w:rPr>
          <w:t xml:space="preserve">56,</w:t>
        </w:r>
      </w:hyperlink>
      <w:hyperlink r:id="rId67">
        <w:r>
          <w:rPr>
            <w:color w:val="DC1E34"/>
            <w:vertAlign w:val="superscript"/>
          </w:rPr>
          <w:t xml:space="preserve">57</w:t>
        </w:r>
      </w:hyperlink>
      <w:r>
        <w:t xml:space="preserve"> About 48.5 crore Ayushman cards have been issued, and more than 12 crore families have Rs 5 lakh (US$5,270) in annual cover.</w:t>
      </w:r>
      <w:hyperlink r:id="rId66">
        <w:r>
          <w:rPr>
            <w:color w:val="DC1E34"/>
            <w:vertAlign w:val="superscript"/>
          </w:rPr>
          <w:t xml:space="preserve">56,</w:t>
        </w:r>
      </w:hyperlink>
      <w:hyperlink r:id="rId67">
        <w:r>
          <w:rPr>
            <w:color w:val="DC1E34"/>
            <w:vertAlign w:val="superscript"/>
          </w:rPr>
          <w:t xml:space="preserve">57,</w:t>
        </w:r>
      </w:hyperlink>
      <w:hyperlink r:id="rId165">
        <w:r>
          <w:rPr>
            <w:color w:val="DC1E34"/>
            <w:vertAlign w:val="superscript"/>
          </w:rPr>
          <w:t xml:space="preserve">154</w:t>
        </w:r>
      </w:hyperlink>
    </w:p>
    <w:p>
      <w:pPr>
        <w:pStyle w:val="Heading1"/>
        <w:keepNext/>
        <w:pageBreakBefore/>
      </w:pPr>
      <w:bookmarkStart w:id="15" w:name="_sec15"/>
      <w:r>
        <w:rPr>
          <w:color w:val="DC1E34"/>
        </w:rPr>
        <w:t>CSI Assessment</w:t>
      </w:r>
      <w:bookmarkEnd w:id="15"/>
    </w:p>
    <w:p>
      <w:pPr>
        <w:spacing w:before="0" w:after="80"/>
        <w:keepNext/>
        <w:pBdr>
          <w:bottom w:val="single" w:sz="12" w:space="1" w:color="DC1E34"/>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DC1E34"/>
        </w:rPr>
        <w:t>Patient Volume &amp; Revenue (most recent FY)</w:t>
        <w:br/>
      </w:r>
      <w:r>
        <w:rPr>
          <w:b/>
          <w:color w:val="996A00"/>
          <w:highlight w:val="yellow"/>
        </w:rPr>
        <w:t>[MANUAL INPUT REQUIRED]</w:t>
      </w:r>
    </w:p>
    <w:p>
      <w:pPr>
        <w:spacing w:after="200"/>
      </w:pPr>
      <w:r>
        <w:rPr>
          <w:b/>
          <w:color w:val="DC1E34"/>
        </w:rPr>
        <w:t>Referral Sources</w:t>
        <w:br/>
      </w:r>
      <w:r>
        <w:rPr>
          <w:b/>
          <w:color w:val="996A00"/>
          <w:highlight w:val="yellow"/>
        </w:rPr>
        <w:t>[MANUAL INPUT REQUIRED]</w:t>
      </w:r>
    </w:p>
    <w:p>
      <w:pPr>
        <w:spacing w:after="200"/>
      </w:pPr>
      <w:r>
        <w:rPr>
          <w:b/>
          <w:color w:val="DC1E34"/>
        </w:rPr>
        <w:t>Relationship History</w:t>
        <w:br/>
      </w:r>
      <w:r>
        <w:rPr>
          <w:b/>
          <w:color w:val="996A00"/>
          <w:highlight w:val="yellow"/>
        </w:rPr>
        <w:t>[MANUAL INPUT REQUIRED]</w:t>
      </w:r>
    </w:p>
    <w:p>
      <w:pPr>
        <w:spacing w:after="200"/>
      </w:pPr>
      <w:r>
        <w:rPr>
          <w:b/>
          <w:color w:val="DC1E34"/>
        </w:rPr>
        <w:t>Complications</w:t>
        <w:br/>
      </w:r>
      <w:r>
        <w:rPr>
          <w:b/>
          <w:color w:val="996A00"/>
          <w:highlight w:val="yellow"/>
        </w:rPr>
        <w:t>[MANUAL INPUT REQUIRED]</w:t>
      </w:r>
    </w:p>
    <w:p>
      <w:pPr>
        <w:spacing w:after="200"/>
      </w:pPr>
      <w:r>
        <w:rPr>
          <w:b/>
          <w:color w:val="DC1E34"/>
        </w:rPr>
        <w:t>Key Contacts</w:t>
        <w:br/>
      </w:r>
      <w:r>
        <w:rPr>
          <w:b/>
          <w:color w:val="996A00"/>
          <w:highlight w:val="yellow"/>
        </w:rPr>
        <w:t>[MANUAL INPUT REQUIRED]</w:t>
      </w:r>
    </w:p>
    <w:p>
      <w:pPr>
        <w:spacing w:after="200"/>
      </w:pPr>
      <w:r>
        <w:rPr>
          <w:b/>
          <w:color w:val="DC1E34"/>
        </w:rPr>
        <w:t>Opportunities</w:t>
        <w:br/>
      </w:r>
      <w:r>
        <w:rPr>
          <w:b/>
          <w:color w:val="996A00"/>
          <w:highlight w:val="yellow"/>
        </w:rPr>
        <w:t>[MANUAL INPUT REQUIRED]</w:t>
      </w:r>
    </w:p>
    <w:p>
      <w:pPr>
        <w:spacing w:after="200"/>
      </w:pPr>
      <w:r>
        <w:rPr>
          <w:b/>
          <w:color w:val="DC1E34"/>
        </w:rPr>
        <w:t>CSI Recommendation</w:t>
        <w:br/>
      </w:r>
      <w:r>
        <w:rPr>
          <w:b/>
          <w:color w:val="996A00"/>
          <w:highlight w:val="yellow"/>
        </w:rPr>
        <w:t>[MANUAL INPUT REQUIRED]</w:t>
      </w:r>
    </w:p>
    <w:sectPr w:rsidR="00FC693F" w:rsidRPr="0006063C" w:rsidSect="00034616">
      <w:footerReference w:type="default" r:id="rId9"/>
      <w:headerReference w:type="default" r:id="rId166"/>
      <w:headerReference w:type="first" r:id="rId167"/>
      <w:headerReference w:type="even" r:id="rId168"/>
      <w:footerReference w:type="first" r:id="rId169"/>
      <w:footerReference w:type="even" r:id="rId170"/>
      <w:pgSz w:w="12240" w:h="15840"/>
      <w:pgMar w:top="1020" w:right="1247" w:bottom="1020" w:left="1247" w:header="10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6777A"/>
        <w:sz w:val="15"/>
      </w:rPr>
      <w:t xml:space="preserve">Cedars-Sinai International   </w:t>
    </w:r>
    <w:r>
      <w:rPr>
        <w:rFonts w:ascii="Arial" w:hAnsi="Arial"/>
        <w:color w:val="76777A"/>
        <w:sz w:val="15"/>
      </w:rPr>
      <w:fldChar w:fldCharType="begin"/>
    </w:r>
    <w:r>
      <w:rPr>
        <w:rFonts w:ascii="Arial" w:hAnsi="Arial"/>
        <w:color w:val="76777A"/>
        <w:sz w:val="15"/>
      </w:rPr>
      <w:instrText xml:space="preserve"> PAGE </w:instrText>
    </w:r>
    <w:r>
      <w:rPr>
        <w:rFonts w:ascii="Arial" w:hAnsi="Arial"/>
        <w:color w:val="76777A"/>
        <w:sz w:val="15"/>
      </w:rPr>
      <w:fldChar w:fldCharType="separate"/>
    </w:r>
    <w:r>
      <w:rPr>
        <w:rFonts w:ascii="Arial" w:hAnsi="Arial"/>
        <w:color w:val="76777A"/>
        <w:sz w:val="15"/>
      </w:rPr>
      <w:t/>
    </w:r>
    <w:r>
      <w:rPr>
        <w:rFonts w:ascii="Arial" w:hAnsi="Arial"/>
        <w:color w:val="76777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India</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India</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s="Arial" w:eastAsia="Arial"/>
      <w:color w:val="282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440" w:after="200"/>
      <w:outlineLvl w:val="0"/>
    </w:pPr>
    <w:rPr>
      <w:rFonts w:cstheme="majorBidi" w:ascii="Arial" w:hAnsi="Arial" w:cs="Arial" w:eastAsia="Arial"/>
      <w:b/>
      <w:bCs/>
      <w:color w:val="DC1E3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theme="majorBidi" w:ascii="Arial" w:hAnsi="Arial" w:cs="Arial" w:eastAsia="Arial"/>
      <w:b/>
      <w:bCs/>
      <w:color w:val="DC1E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cs="Arial" w:eastAsia="Arial"/>
      <w:b/>
      <w:bCs/>
      <w:color w:val="DC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cs="Arial" w:eastAsia="Arial"/>
      <w:b/>
      <w:bCs/>
      <w:i/>
      <w:iCs/>
      <w:color w:val="DC1E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s="Arial" w:eastAsia="Arial"/>
      <w:color w:val="DC1E3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cs="Arial" w:eastAsia="Arial"/>
      <w:i/>
      <w:iCs/>
      <w:color w:val="DC1E3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cs="Arial" w:eastAsia="Arial"/>
      <w:i/>
      <w:iCs/>
      <w:color w:val="DC1E3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s="Arial" w:eastAsia="Arial"/>
      <w:color w:val="DC1E3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cs="Arial" w:eastAsia="Arial"/>
      <w:i/>
      <w:iCs/>
      <w:color w:val="DC1E34"/>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cstheme="majorBidi" w:ascii="Arial" w:hAnsi="Arial" w:cs="Arial" w:eastAsia="Arial"/>
      <w:b/>
      <w:bCs/>
      <w:color w:val="DC1E34"/>
      <w:sz w:val="28"/>
      <w:szCs w:val="28"/>
    </w:rPr>
  </w:style>
  <w:style w:type="character" w:customStyle="1" w:styleId="Heading2Char">
    <w:name w:val="Heading 2 Char"/>
    <w:basedOn w:val="DefaultParagraphFont"/>
    <w:link w:val="Heading2"/>
    <w:uiPriority w:val="9"/>
    <w:rsid w:val="00FC693F"/>
    <w:rPr>
      <w:rFonts w:cstheme="majorBidi" w:ascii="Arial" w:hAnsi="Arial" w:cs="Arial" w:eastAsia="Arial"/>
      <w:b/>
      <w:bCs/>
      <w:color w:val="DC1E34"/>
      <w:sz w:val="26"/>
      <w:szCs w:val="26"/>
    </w:rPr>
  </w:style>
  <w:style w:type="character" w:customStyle="1" w:styleId="Heading3Char">
    <w:name w:val="Heading 3 Char"/>
    <w:basedOn w:val="DefaultParagraphFont"/>
    <w:link w:val="Heading3"/>
    <w:uiPriority w:val="9"/>
    <w:rsid w:val="00FC693F"/>
    <w:rPr>
      <w:rFonts w:cstheme="majorBidi" w:ascii="Arial" w:hAnsi="Arial" w:cs="Arial" w:eastAsia="Arial"/>
      <w:b/>
      <w:bCs/>
      <w:color w:val="DC1E3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cs="Arial" w:eastAsia="Arial"/>
      <w:color w:val="DC1E34"/>
      <w:spacing w:val="5"/>
      <w:kern w:val="28"/>
      <w:sz w:val="52"/>
      <w:szCs w:val="52"/>
    </w:rPr>
  </w:style>
  <w:style w:type="character" w:customStyle="1" w:styleId="TitleChar">
    <w:name w:val="Title Char"/>
    <w:basedOn w:val="DefaultParagraphFont"/>
    <w:link w:val="Title"/>
    <w:uiPriority w:val="10"/>
    <w:rsid w:val="00FC693F"/>
    <w:rPr>
      <w:rFonts w:cstheme="majorBidi" w:ascii="Arial" w:hAnsi="Arial" w:cs="Arial" w:eastAsia="Arial"/>
      <w:color w:val="DC1E34"/>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cs="Arial" w:eastAsia="Arial"/>
      <w:i/>
      <w:iCs/>
      <w:color w:val="4F81BD"/>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cs="Arial" w:eastAsia="Arial"/>
      <w:i/>
      <w:iCs/>
      <w:color w:val="4F81BD"/>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rPr>
  </w:style>
  <w:style w:type="character" w:customStyle="1" w:styleId="QuoteChar">
    <w:name w:val="Quote Char"/>
    <w:basedOn w:val="DefaultParagraphFont"/>
    <w:link w:val="Quote"/>
    <w:uiPriority w:val="29"/>
    <w:rsid w:val="00FC693F"/>
    <w:rPr>
      <w:rFonts w:ascii="Arial" w:hAnsi="Arial" w:cs="Arial" w:eastAsia="Arial"/>
      <w:i/>
      <w:iCs/>
      <w:color w:val="000000"/>
    </w:rPr>
  </w:style>
  <w:style w:type="character" w:customStyle="1" w:styleId="Heading4Char">
    <w:name w:val="Heading 4 Char"/>
    <w:basedOn w:val="DefaultParagraphFont"/>
    <w:link w:val="Heading4"/>
    <w:uiPriority w:val="9"/>
    <w:semiHidden/>
    <w:rsid w:val="00FC693F"/>
    <w:rPr>
      <w:rFonts w:cstheme="majorBidi" w:ascii="Arial" w:hAnsi="Arial" w:cs="Arial" w:eastAsia="Arial"/>
      <w:b/>
      <w:bCs/>
      <w:i/>
      <w:iCs/>
      <w:color w:val="DC1E34"/>
    </w:rPr>
  </w:style>
  <w:style w:type="character" w:customStyle="1" w:styleId="Heading5Char">
    <w:name w:val="Heading 5 Char"/>
    <w:basedOn w:val="DefaultParagraphFont"/>
    <w:link w:val="Heading5"/>
    <w:uiPriority w:val="9"/>
    <w:semiHidden/>
    <w:rsid w:val="00FC693F"/>
    <w:rPr>
      <w:rFonts w:cstheme="majorBidi" w:ascii="Arial" w:hAnsi="Arial" w:cs="Arial" w:eastAsia="Arial"/>
      <w:color w:val="DC1E34"/>
    </w:rPr>
  </w:style>
  <w:style w:type="character" w:customStyle="1" w:styleId="Heading6Char">
    <w:name w:val="Heading 6 Char"/>
    <w:basedOn w:val="DefaultParagraphFont"/>
    <w:link w:val="Heading6"/>
    <w:uiPriority w:val="9"/>
    <w:semiHidden/>
    <w:rsid w:val="00FC693F"/>
    <w:rPr>
      <w:rFonts w:cstheme="majorBidi" w:ascii="Arial" w:hAnsi="Arial" w:cs="Arial" w:eastAsia="Arial"/>
      <w:i/>
      <w:iCs/>
      <w:color w:val="DC1E34"/>
    </w:rPr>
  </w:style>
  <w:style w:type="character" w:customStyle="1" w:styleId="Heading7Char">
    <w:name w:val="Heading 7 Char"/>
    <w:basedOn w:val="DefaultParagraphFont"/>
    <w:link w:val="Heading7"/>
    <w:uiPriority w:val="9"/>
    <w:semiHidden/>
    <w:rsid w:val="00FC693F"/>
    <w:rPr>
      <w:rFonts w:cstheme="majorBidi" w:ascii="Arial" w:hAnsi="Arial" w:cs="Arial" w:eastAsia="Arial"/>
      <w:i/>
      <w:iCs/>
      <w:color w:val="DC1E34"/>
    </w:rPr>
  </w:style>
  <w:style w:type="character" w:customStyle="1" w:styleId="Heading8Char">
    <w:name w:val="Heading 8 Char"/>
    <w:basedOn w:val="DefaultParagraphFont"/>
    <w:link w:val="Heading8"/>
    <w:uiPriority w:val="9"/>
    <w:semiHidden/>
    <w:rsid w:val="00FC693F"/>
    <w:rPr>
      <w:rFonts w:cstheme="majorBidi" w:ascii="Arial" w:hAnsi="Arial" w:cs="Arial" w:eastAsia="Arial"/>
      <w:color w:val="DC1E34"/>
      <w:sz w:val="20"/>
      <w:szCs w:val="20"/>
    </w:rPr>
  </w:style>
  <w:style w:type="character" w:customStyle="1" w:styleId="Heading9Char">
    <w:name w:val="Heading 9 Char"/>
    <w:basedOn w:val="DefaultParagraphFont"/>
    <w:link w:val="Heading9"/>
    <w:uiPriority w:val="9"/>
    <w:semiHidden/>
    <w:rsid w:val="00FC693F"/>
    <w:rPr>
      <w:rFonts w:cstheme="majorBidi" w:ascii="Arial" w:hAnsi="Arial" w:cs="Arial" w:eastAsia="Arial"/>
      <w:i/>
      <w:iCs/>
      <w:color w:val="DC1E3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rPr>
  </w:style>
  <w:style w:type="character" w:styleId="SubtleEmphasis">
    <w:name w:val="Subtle Emphasis"/>
    <w:basedOn w:val="DefaultParagraphFont"/>
    <w:uiPriority w:val="19"/>
    <w:qFormat/>
    <w:rsid w:val="00FC693F"/>
    <w:rPr>
      <w:rFonts w:ascii="Arial" w:hAnsi="Arial" w:cs="Arial" w:eastAsia="Arial"/>
      <w:i/>
      <w:iCs/>
      <w:color w:val="808080"/>
    </w:rPr>
  </w:style>
  <w:style w:type="character" w:styleId="IntenseEmphasis">
    <w:name w:val="Intense Emphasis"/>
    <w:basedOn w:val="DefaultParagraphFont"/>
    <w:uiPriority w:val="21"/>
    <w:qFormat/>
    <w:rsid w:val="00FC693F"/>
    <w:rPr>
      <w:rFonts w:ascii="Arial" w:hAnsi="Arial" w:cs="Arial" w:eastAsia="Arial"/>
      <w:b/>
      <w:bCs/>
      <w:i/>
      <w:iCs/>
      <w:color w:val="4F81BD"/>
    </w:rPr>
  </w:style>
  <w:style w:type="character" w:styleId="SubtleReference">
    <w:name w:val="Subtle Reference"/>
    <w:basedOn w:val="DefaultParagraphFont"/>
    <w:uiPriority w:val="31"/>
    <w:qFormat/>
    <w:rsid w:val="00FC693F"/>
    <w:rPr>
      <w:rFonts w:ascii="Arial" w:hAnsi="Arial" w:cs="Arial" w:eastAsia="Arial"/>
      <w:smallCaps/>
      <w:color w:val="C0504D"/>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000000" w:themeColor="text1"/>
        </w:tcBorders>
      </w:tcPr>
    </w:tblStylePr>
    <w:tblStylePr w:type="lastRow">
      <w:rPr>
        <w:b/>
        <w:bCs/>
        <w:color w:val="DC1E3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F81BD" w:themeColor="accent1"/>
        </w:tcBorders>
      </w:tcPr>
    </w:tblStylePr>
    <w:tblStylePr w:type="lastRow">
      <w:rPr>
        <w:b/>
        <w:bCs/>
        <w:color w:val="DC1E3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C0504D" w:themeColor="accent2"/>
        </w:tcBorders>
      </w:tcPr>
    </w:tblStylePr>
    <w:tblStylePr w:type="lastRow">
      <w:rPr>
        <w:b/>
        <w:bCs/>
        <w:color w:val="DC1E3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9BBB59" w:themeColor="accent3"/>
        </w:tcBorders>
      </w:tcPr>
    </w:tblStylePr>
    <w:tblStylePr w:type="lastRow">
      <w:rPr>
        <w:b/>
        <w:bCs/>
        <w:color w:val="DC1E3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8064A2" w:themeColor="accent4"/>
        </w:tcBorders>
      </w:tcPr>
    </w:tblStylePr>
    <w:tblStylePr w:type="lastRow">
      <w:rPr>
        <w:b/>
        <w:bCs/>
        <w:color w:val="DC1E3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BACC6" w:themeColor="accent5"/>
        </w:tcBorders>
      </w:tcPr>
    </w:tblStylePr>
    <w:tblStylePr w:type="lastRow">
      <w:rPr>
        <w:b/>
        <w:bCs/>
        <w:color w:val="DC1E3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F79646" w:themeColor="accent6"/>
        </w:tcBorders>
      </w:tcPr>
    </w:tblStylePr>
    <w:tblStylePr w:type="lastRow">
      <w:rPr>
        <w:b/>
        <w:bCs/>
        <w:color w:val="DC1E3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ww.eoikhartoum.gov.in/india-at-a-glance.php" TargetMode="External"/><Relationship Id="rId12" Type="http://schemas.openxmlformats.org/officeDocument/2006/relationships/hyperlink" Target="https://cdnbbsr.s3waas.gov.in/s380537a945c7aaa788ccfcdf1b99b5d8f/uploads/2024/07/20240716890312078.pdf" TargetMode="External"/><Relationship Id="rId13" Type="http://schemas.openxmlformats.org/officeDocument/2006/relationships/hyperlink" Target="https://www.business-standard.com/markets/capital-market-news/india-s-population-estimated-to-hit-1-46-billion-in-2025-says-un-125061001170_1.html" TargetMode="External"/><Relationship Id="rId14" Type="http://schemas.openxmlformats.org/officeDocument/2006/relationships/hyperlink" Target="https://www.unfpa.org/data/world-population/IN" TargetMode="External"/><Relationship Id="rId15" Type="http://schemas.openxmlformats.org/officeDocument/2006/relationships/hyperlink" Target="https://data.worldbank.org/indicator/NY.GDP.MKTP.PP.CD?locations=IN" TargetMode="External"/><Relationship Id="rId16" Type="http://schemas.openxmlformats.org/officeDocument/2006/relationships/hyperlink" Target="https://api.worldbank.org/v2/country/IND/indicator/NY.GDP.MKTP.PP.CD?format=json" TargetMode="External"/><Relationship Id="rId17" Type="http://schemas.openxmlformats.org/officeDocument/2006/relationships/hyperlink" Target="https://data.worldbank.org/indicator/NY.GDP.PCAP.PP.CD?locations=IN" TargetMode="External"/><Relationship Id="rId18" Type="http://schemas.openxmlformats.org/officeDocument/2006/relationships/hyperlink" Target="https://www.presidentofindia.gov.in/Profile" TargetMode="External"/><Relationship Id="rId19" Type="http://schemas.openxmlformats.org/officeDocument/2006/relationships/hyperlink" Target="https://www.pmindia.gov.in/en/pms-profile/" TargetMode="External"/><Relationship Id="rId20" Type="http://schemas.openxmlformats.org/officeDocument/2006/relationships/hyperlink" Target="https://www.rbi.org.in/commonman/Upload/English/FAQs/PDFs/INDIANCURRENCY15042025.pdf" TargetMode="External"/><Relationship Id="rId21" Type="http://schemas.openxmlformats.org/officeDocument/2006/relationships/hyperlink" Target="https://data.worldbank.org/indicator/SP.URB.TOTL.IN.ZS?locations=IN" TargetMode="External"/><Relationship Id="rId22" Type="http://schemas.openxmlformats.org/officeDocument/2006/relationships/hyperlink" Target="https://m.thewire.in/article/health/all-the-states-except-six-in-north-india-are-below-replacement-fertility-levels-govt-report-suggests" TargetMode="External"/><Relationship Id="rId23" Type="http://schemas.openxmlformats.org/officeDocument/2006/relationships/hyperlink" Target="https://www.policyedge.in/p/indias-fertility-falls-below-replacement-level-in-srs-2024-demographic-report" TargetMode="External"/><Relationship Id="rId24" Type="http://schemas.openxmlformats.org/officeDocument/2006/relationships/hyperlink" Target="https://www.business-standard.com/india-news/amid-delimitation-row-srs-bulletin-reveals-population-imbalance-in-india-126052400346_1.html" TargetMode="External"/><Relationship Id="rId25" Type="http://schemas.openxmlformats.org/officeDocument/2006/relationships/hyperlink" Target="https://india.unfpa.org/en/news/india-ageing-elderly-make-20-population-2050-unfpa-report" TargetMode="External"/><Relationship Id="rId26" Type="http://schemas.openxmlformats.org/officeDocument/2006/relationships/hyperlink" Target="https://factly.in/data-india-ageing-report-2023-highlights-challenges-of-demographic-shift/" TargetMode="External"/><Relationship Id="rId27" Type="http://schemas.openxmlformats.org/officeDocument/2006/relationships/hyperlink" Target="https://www.tribuneindia.com/news/india/indias-population-to-peak-in-early-2060s-to-1-7-billion-before-declining-un-639130/" TargetMode="External"/><Relationship Id="rId28" Type="http://schemas.openxmlformats.org/officeDocument/2006/relationships/hyperlink" Target="https://www.pib.gov.in/PressReleasePage.aspx?lang=1&amp;PRID=2246847&amp;reg=3" TargetMode="External"/><Relationship Id="rId29" Type="http://schemas.openxmlformats.org/officeDocument/2006/relationships/hyperlink" Target="https://nhsrcindia.org/sites/default/files/2021-09/FCXV%20Technical%20and%20Operational%20GLs%20to%20States%20dated%2031082021.pdf" TargetMode="External"/><Relationship Id="rId30" Type="http://schemas.openxmlformats.org/officeDocument/2006/relationships/hyperlink" Target="https://www.newsonair.gov.in/odisha-becomes-34th-state-ut-to-implement-ayushman-bharat-pm-jay" TargetMode="External"/><Relationship Id="rId31" Type="http://schemas.openxmlformats.org/officeDocument/2006/relationships/hyperlink" Target="https://www.deccanherald.com/amp/story/india%2Fdelhi%2Fdelhi-govt-inks-mou-with-centre-to-roll-out-ayushman-bharat-scheme-3479728" TargetMode="External"/><Relationship Id="rId32" Type="http://schemas.openxmlformats.org/officeDocument/2006/relationships/hyperlink" Target="https://www.pib.gov.in/PressReleasePage.aspx?PRID=2270375&amp;reg=3&amp;lang=2" TargetMode="External"/><Relationship Id="rId33" Type="http://schemas.openxmlformats.org/officeDocument/2006/relationships/hyperlink" Target="https://nhsrcindia.org/sites/default/files/2026-05/NHA%202022-23%20Report.pdf" TargetMode="External"/><Relationship Id="rId34" Type="http://schemas.openxmlformats.org/officeDocument/2006/relationships/hyperlink" Target="https://www.freepressjournal.in/mumbai/maharashtra-signs-mou-with-cleveland-clinic-and-brookfield-for-navi-mumbai-international-medicity-indias-first-global-scale-healthcare-hub" TargetMode="External"/><Relationship Id="rId35" Type="http://schemas.openxmlformats.org/officeDocument/2006/relationships/hyperlink" Target="https://www.imf.org/-/media/files/publications/weo/2026/update/july/english/text.pdf" TargetMode="External"/><Relationship Id="rId36" Type="http://schemas.openxmlformats.org/officeDocument/2006/relationships/hyperlink" Target="https://www.mospi.gov.in/uploads/latestReleases/latest_release_1780655857536_5ac01869-ca4a-422d-b7a7-57b81da60932_Press_Note_on_GDP_Estimates_for_Q4_2025-26_and_PE_FY_2025-26_F.pdf" TargetMode="External"/><Relationship Id="rId37" Type="http://schemas.openxmlformats.org/officeDocument/2006/relationships/hyperlink" Target="https://www.mospi.gov.in/uploads/latestReleases/latest_release_1788172583113_d65a77cf-240e-4491-82ee-59f78618fa41_Press_Note_on_GDP_Estimates_for_Q1_2026-27.pdf" TargetMode="External"/><Relationship Id="rId38" Type="http://schemas.openxmlformats.org/officeDocument/2006/relationships/hyperlink" Target="https://www.aljazeera.com/news/2025/8/27/us-imposes-50-percent-tariff-on-india-over-russian-oil-purchases" TargetMode="External"/><Relationship Id="rId39" Type="http://schemas.openxmlformats.org/officeDocument/2006/relationships/hyperlink" Target="https://www.newsonair.gov.in/white-house-says-india-to-face-temporary-10-per-cent-tariff-after-new-us-order" TargetMode="External"/><Relationship Id="rId40" Type="http://schemas.openxmlformats.org/officeDocument/2006/relationships/hyperlink" Target="https://www.morganlewis.com/pubs/2026/07/us-administration-rebuilds-global-tariff-program-under-section-301" TargetMode="External"/><Relationship Id="rId41" Type="http://schemas.openxmlformats.org/officeDocument/2006/relationships/hyperlink" Target="https://www.indialaw.in/blog/us-pharma-tariffs-2026-exporters/" TargetMode="External"/><Relationship Id="rId42" Type="http://schemas.openxmlformats.org/officeDocument/2006/relationships/hyperlink" Target="https://www.aljazeera.com/features/2026/9/17/us-tariffs-against-russian-oil-buyers-pass-what-it-means-for-china" TargetMode="External"/><Relationship Id="rId43" Type="http://schemas.openxmlformats.org/officeDocument/2006/relationships/hyperlink" Target="https://sanctionsnews.bakermckenzie.com/us-president-signs-russia-and-iran-sanctions-bill-with-new-tariff-powers/" TargetMode="External"/><Relationship Id="rId44" Type="http://schemas.openxmlformats.org/officeDocument/2006/relationships/hyperlink" Target="https://www.business-standard.com/industry/news/drug-exports-to-us-fall-10-in-fy26-as-eu-and-africa-drive-growth-126050100811_1.html" TargetMode="External"/><Relationship Id="rId45" Type="http://schemas.openxmlformats.org/officeDocument/2006/relationships/hyperlink" Target="https://www.pib.gov.in/PressReleasePage.aspx?PRID=2221616&amp;reg=48&amp;lang=2" TargetMode="External"/><Relationship Id="rId46" Type="http://schemas.openxmlformats.org/officeDocument/2006/relationships/hyperlink" Target="https://www.business-standard.com/budget/news/govt-to-support-five-regional-medical-tourism-hubs-126020100321_1.html" TargetMode="External"/><Relationship Id="rId47" Type="http://schemas.openxmlformats.org/officeDocument/2006/relationships/hyperlink" Target="https://thefederal.com/health/noncommunicable-diseases-caused-66-deaths-in-india-in-2019-who" TargetMode="External"/><Relationship Id="rId48" Type="http://schemas.openxmlformats.org/officeDocument/2006/relationships/hyperlink" Target="https://ghoapi.azureedge.net/api/NCDMORT3070" TargetMode="External"/><Relationship Id="rId49" Type="http://schemas.openxmlformats.org/officeDocument/2006/relationships/hyperlink" Target="https://thesouthfirst.com/tamilnadu/in-2024-1-in-every-3-medically-certified-heart-attack-deaths-occurred-in-tamil-nadu/" TargetMode="External"/><Relationship Id="rId50" Type="http://schemas.openxmlformats.org/officeDocument/2006/relationships/hyperlink" Target="https://www.thelancet.com/journals/landia/article/PIIS2213-8587(23)00119-5/fulltext" TargetMode="External"/><Relationship Id="rId51" Type="http://schemas.openxmlformats.org/officeDocument/2006/relationships/hyperlink" Target="https://www.medrxiv.org/content/10.1101/2025.09.17.25335963v1.full" TargetMode="External"/><Relationship Id="rId52" Type="http://schemas.openxmlformats.org/officeDocument/2006/relationships/hyperlink" Target="https://theprint.in/health/anaemia-obesity-on-the-rise-in-india-as-nfhs-5-reveals-falling-nutritional-indicators/771169/" TargetMode="External"/><Relationship Id="rId53" Type="http://schemas.openxmlformats.org/officeDocument/2006/relationships/hyperlink" Target="https://risingkashmir.com/india-sees-over-15-lakh-new-cancer-cases-in-2024-health-ministry/" TargetMode="External"/><Relationship Id="rId54" Type="http://schemas.openxmlformats.org/officeDocument/2006/relationships/hyperlink" Target="https://ddnews.gov.in/en/india-records-21-decline-in-tb-incidence-nearly-double-global-rate-who-report/" TargetMode="External"/><Relationship Id="rId55" Type="http://schemas.openxmlformats.org/officeDocument/2006/relationships/hyperlink" Target="https://www.business-standard.com/health/india-tops-global-tb-burden-2024-who-report-125111300014_1.html" TargetMode="External"/><Relationship Id="rId56" Type="http://schemas.openxmlformats.org/officeDocument/2006/relationships/hyperlink" Target="https://www.stateofglobalair.org/resources/archived/state-global-air-report-2024" TargetMode="External"/><Relationship Id="rId57" Type="http://schemas.openxmlformats.org/officeDocument/2006/relationships/hyperlink" Target="https://www.cleanairfund.org/news-item/hei-global-air-pollution-report/" TargetMode="External"/><Relationship Id="rId58" Type="http://schemas.openxmlformats.org/officeDocument/2006/relationships/hyperlink" Target="https://www.icmr.gov.in/icmrobject/custom_data/1702896954_indiastate-leveldiseaseburdeninitiative_pressrelease_sldbi_14nov17.pdf" TargetMode="External"/><Relationship Id="rId59" Type="http://schemas.openxmlformats.org/officeDocument/2006/relationships/hyperlink" Target="https://www.healthdata.org/research-analysis/library/india-health-nations-states" TargetMode="External"/><Relationship Id="rId60" Type="http://schemas.openxmlformats.org/officeDocument/2006/relationships/hyperlink" Target="https://www.thelancet.com/journals/lancet/article/PIIS0140-6736(24)00933-4/fulltext" TargetMode="External"/><Relationship Id="rId61" Type="http://schemas.openxmlformats.org/officeDocument/2006/relationships/hyperlink" Target="https://www.nature.com/articles/s41598-024-72551-4" TargetMode="External"/><Relationship Id="rId62" Type="http://schemas.openxmlformats.org/officeDocument/2006/relationships/hyperlink" Target="https://www.business-standard.com/health/cancer-cases-india-icmr-2024-study-jama-oral-breast-lung-cervical-125082600642_1.html" TargetMode="External"/><Relationship Id="rId63" Type="http://schemas.openxmlformats.org/officeDocument/2006/relationships/hyperlink" Target="https://www.pib.gov.in/PressReleasePage.aspx?PRID=2210432&amp;reg=3&amp;lang=1" TargetMode="External"/><Relationship Id="rId64" Type="http://schemas.openxmlformats.org/officeDocument/2006/relationships/hyperlink" Target="https://www.pib.gov.in/PressReleasePage.aspx?PRID=2151239&amp;reg=48&amp;lang=2" TargetMode="External"/><Relationship Id="rId65" Type="http://schemas.openxmlformats.org/officeDocument/2006/relationships/hyperlink" Target="https://www.pib.gov.in/PressReleasePage.aspx?PRID=2080071&amp;reg=48&amp;lang=2" TargetMode="External"/><Relationship Id="rId66" Type="http://schemas.openxmlformats.org/officeDocument/2006/relationships/hyperlink" Target="https://www.aninews.in/news/national/politics/sankalp-for-seva8217-jp-nadda-marks-8-years-of-ayushman-bharat-pm-jay-highlights-coverage-of-over-60-crore-people20260923095824/" TargetMode="External"/><Relationship Id="rId67" Type="http://schemas.openxmlformats.org/officeDocument/2006/relationships/hyperlink" Target="https://morungexpress.com/indias-ab-pm-jay-marks-8th-anniversary-funds-1325-crore-admissions" TargetMode="External"/><Relationship Id="rId68" Type="http://schemas.openxmlformats.org/officeDocument/2006/relationships/hyperlink" Target="https://thesouthfirst.com/health/india-has-only-0-79-beds-per-1000-population-in-government-hospitals-short-by-2-4-million-hospital-beds/" TargetMode="External"/><Relationship Id="rId69" Type="http://schemas.openxmlformats.org/officeDocument/2006/relationships/hyperlink" Target="https://www.mospi.gov.in/uploads/release_calendar/1776681150721_PRESS_NOTE_HEALTH_REVISED.pdf" TargetMode="External"/><Relationship Id="rId70" Type="http://schemas.openxmlformats.org/officeDocument/2006/relationships/hyperlink" Target="https://vajiramandravi.com/current-affairs/nso-health-survey-findings/" TargetMode="External"/><Relationship Id="rId71" Type="http://schemas.openxmlformats.org/officeDocument/2006/relationships/hyperlink" Target="https://www.orfonline.org/expert-speak/india-s-2025-national-health-survey-update-higher-access-persistent-financial-risk" TargetMode="External"/><Relationship Id="rId72" Type="http://schemas.openxmlformats.org/officeDocument/2006/relationships/hyperlink" Target="https://groww.in/ipo/manipal-health-enterprises-ipo" TargetMode="External"/><Relationship Id="rId73" Type="http://schemas.openxmlformats.org/officeDocument/2006/relationships/hyperlink" Target="https://www.business-standard.com/markets/news/manipal-health-share-price-lists-at-11-premium-beats-gmp-expectations-126080500123_1.html" TargetMode="External"/><Relationship Id="rId74" Type="http://schemas.openxmlformats.org/officeDocument/2006/relationships/hyperlink" Target="https://www.apollohospitals.com/sites/default/files/2026-05/ahel-q4fy26-resullts-release.pdf" TargetMode="External"/><Relationship Id="rId75" Type="http://schemas.openxmlformats.org/officeDocument/2006/relationships/hyperlink" Target="https://www.bwhealthcareworld.com/article/apollo-hospitals-q4-fy26-profit-rises-36-to-rs-529-crore-revenue-up-18-607774" TargetMode="External"/><Relationship Id="rId76" Type="http://schemas.openxmlformats.org/officeDocument/2006/relationships/hyperlink" Target="https://www.asterdmhealthcare.in/newsroom/detail/aster-and-blackstone-backed-quality-care-have-merged-establish-one-of-top-3-hospital-chains-india" TargetMode="External"/><Relationship Id="rId77" Type="http://schemas.openxmlformats.org/officeDocument/2006/relationships/hyperlink" Target="https://www.healthcaremea.com/2026/07/03/aster-dm-quality-care-begins-operations-post-merger-with-over-10600-beds/" TargetMode="External"/><Relationship Id="rId78" Type="http://schemas.openxmlformats.org/officeDocument/2006/relationships/hyperlink" Target="https://max-website20-images.s3.ap-south-1.amazonaws.com/SE_Intimation_Reg_30_LODR_Earnings_Update_21_05_2026_ed3cd6e592.pdf" TargetMode="External"/><Relationship Id="rId79" Type="http://schemas.openxmlformats.org/officeDocument/2006/relationships/hyperlink" Target="https://max-website20-images.s3.ap-south-1.amazonaws.com/FY_2025_26_Integrated_Annual_Report_ab5f34d431.pdf" TargetMode="External"/><Relationship Id="rId80" Type="http://schemas.openxmlformats.org/officeDocument/2006/relationships/hyperlink" Target="https://www.indianpharmapost.com/hospitals/lite/medanta-delivers-record-fy26-performance-as-revenue-surges-profit-jumps-with-expansion-20233" TargetMode="External"/><Relationship Id="rId81" Type="http://schemas.openxmlformats.org/officeDocument/2006/relationships/hyperlink" Target="https://www.investywise.com/fortis-healthcare-results-of-open-offers/" TargetMode="External"/><Relationship Id="rId82" Type="http://schemas.openxmlformats.org/officeDocument/2006/relationships/hyperlink" Target="https://www.ey.com/en_in/newsroom/2026/07/india-healthcare-sector-records-strong-fy-26-growth-expansion-and-capacity-build-out-drive-momentum" TargetMode="External"/><Relationship Id="rId83" Type="http://schemas.openxmlformats.org/officeDocument/2006/relationships/hyperlink" Target="https://www.business-standard.com/health/india-s-hospital-chains-grow-bigger-even-as-expansion-squeezes-margins-ey-126072300813_1.html" TargetMode="External"/><Relationship Id="rId84" Type="http://schemas.openxmlformats.org/officeDocument/2006/relationships/hyperlink" Target="https://www.nasdaq.com/press-release/kkr-acquire-leading-multi-specialty-healthcare-provider-medicover-india-2026-08-06" TargetMode="External"/><Relationship Id="rId85" Type="http://schemas.openxmlformats.org/officeDocument/2006/relationships/hyperlink" Target="https://theprint.in/health/as-govt-cut-health-spends-post-covid-indians-paid-more-out-of-pocket-in-2022-23-reversing-10-yr-trend/2943692/" TargetMode="External"/><Relationship Id="rId86" Type="http://schemas.openxmlformats.org/officeDocument/2006/relationships/hyperlink" Target="https://www.pib.gov.in/PressReleasePage.aspx?PRID=2265816&amp;lang=1&amp;reg=3" TargetMode="External"/><Relationship Id="rId87" Type="http://schemas.openxmlformats.org/officeDocument/2006/relationships/hyperlink" Target="https://www.socialnews.xyz/2026/05/27/govt-health-expenditure-rises-to-1-43-pc-of-gdp-in-fy23-ministry" TargetMode="External"/><Relationship Id="rId88" Type="http://schemas.openxmlformats.org/officeDocument/2006/relationships/hyperlink" Target="https://vajiramandravi.com/upsc-exam/15th-finance-commission/" TargetMode="External"/><Relationship Id="rId89" Type="http://schemas.openxmlformats.org/officeDocument/2006/relationships/hyperlink" Target="https://www.downtoearth.org.in/health/indias-per-capita-health-expense-jumped-82-in-last-decade-national-health-accounts-estimates" TargetMode="External"/><Relationship Id="rId90" Type="http://schemas.openxmlformats.org/officeDocument/2006/relationships/hyperlink" Target="https://www.deccanherald.com/amp/story/india%2Fdoctor-population-ratio-1811-in-india-union-health-minister-j-p-nadda-3817146" TargetMode="External"/><Relationship Id="rId91" Type="http://schemas.openxmlformats.org/officeDocument/2006/relationships/hyperlink" Target="https://www.digitalhealthnews.com/india-has-only-one-doctor-per-811-people-government-data-shows" TargetMode="External"/><Relationship Id="rId92" Type="http://schemas.openxmlformats.org/officeDocument/2006/relationships/hyperlink" Target="https://ddnews.gov.in/en/13-86-lakh-registered-allopathic-doctors-7-51-lakh-practitioners-in-ayush-system-centre/" TargetMode="External"/><Relationship Id="rId93" Type="http://schemas.openxmlformats.org/officeDocument/2006/relationships/hyperlink" Target="https://thesouthfirst.com/health/south-india-leads-indias-nursing-workforce-as-national-ratio-remains-below-who-benchmark/" TargetMode="External"/><Relationship Id="rId94" Type="http://schemas.openxmlformats.org/officeDocument/2006/relationships/hyperlink" Target="https://www.chennaionline.com/life/nrts-implementation-uneven-across-india/" TargetMode="External"/><Relationship Id="rId95" Type="http://schemas.openxmlformats.org/officeDocument/2006/relationships/hyperlink" Target="https://www.observatoriorh.org/sites/default/files/webfiles/fulltext/2019/global_strategy_workforce2030_who.pdf" TargetMode="External"/><Relationship Id="rId96" Type="http://schemas.openxmlformats.org/officeDocument/2006/relationships/hyperlink" Target="https://www.oecd.org/en/publications/health-at-a-glance-2025_8f9e3f98-en/full-report/doctors-overall-number-and-distribution_beb60151.html" TargetMode="External"/><Relationship Id="rId97" Type="http://schemas.openxmlformats.org/officeDocument/2006/relationships/hyperlink" Target="https://www.oecd.org/en/publications/health-at-a-glance-2025_8f9e3f98-en/full-report/nurses_00c2bcb9.html" TargetMode="External"/><Relationship Id="rId98" Type="http://schemas.openxmlformats.org/officeDocument/2006/relationships/hyperlink" Target="https://www.oecd.org/en/publications/2025/11/health-at-a-glance-2025_a894f72e/full-report/hospital-beds-and-occupancy_152d839e.html" TargetMode="External"/><Relationship Id="rId99" Type="http://schemas.openxmlformats.org/officeDocument/2006/relationships/hyperlink" Target="https://www.business-standard.com/health/rural-india-chc-s-see-nearly-80-shortfall-of-specialist-doctors-govt-rpt-124091000561_1.html" TargetMode="External"/><Relationship Id="rId100" Type="http://schemas.openxmlformats.org/officeDocument/2006/relationships/hyperlink" Target="https://www.newkerala.com/news/a/budget-2026-govt-upgrade-allied-health-institutions-train-103.htm" TargetMode="External"/><Relationship Id="rId101" Type="http://schemas.openxmlformats.org/officeDocument/2006/relationships/hyperlink" Target="https://www.pib.gov.in/PressReleasePage.aspx?PRID=1659029" TargetMode="External"/><Relationship Id="rId102" Type="http://schemas.openxmlformats.org/officeDocument/2006/relationships/hyperlink" Target="https://cdnbbsr.s3waas.gov.in/s37bc1ec1d9c3426357e69acd5bf320061/uploads/2026/07/20260716477215762.pdf" TargetMode="External"/><Relationship Id="rId103" Type="http://schemas.openxmlformats.org/officeDocument/2006/relationships/hyperlink" Target="https://ddnews.gov.in/en/neet-ug-2026-cancelled-fresh-exam-to-be-held-cbi-probe-ordered/" TargetMode="External"/><Relationship Id="rId104" Type="http://schemas.openxmlformats.org/officeDocument/2006/relationships/hyperlink" Target="https://www.outlookindia.com/national/neet-ug-2026-exam-cancelled-re-exam-scheduled-for-june-21-by-nta" TargetMode="External"/><Relationship Id="rId105" Type="http://schemas.openxmlformats.org/officeDocument/2006/relationships/hyperlink" Target="https://www.pw.live/neet/exams/neet-ug-result-date-2026" TargetMode="External"/><Relationship Id="rId106" Type="http://schemas.openxmlformats.org/officeDocument/2006/relationships/hyperlink" Target="https://medicaldialogues.in/news/education/140664-mbbs-seats-across-839-medical-colleges-for-2026-27-127028-renewed-13636-increased-nmc-updates-seat-matrix-179737" TargetMode="External"/><Relationship Id="rId107" Type="http://schemas.openxmlformats.org/officeDocument/2006/relationships/hyperlink" Target="https://medicaldialogues.in/news/education/nmc-approved-7619-pg-medical-seats-during-2025-26-check-details-57503-160979" TargetMode="External"/><Relationship Id="rId108" Type="http://schemas.openxmlformats.org/officeDocument/2006/relationships/hyperlink" Target="https://natboard.edu.in/aboutus.php" TargetMode="External"/><Relationship Id="rId109" Type="http://schemas.openxmlformats.org/officeDocument/2006/relationships/hyperlink" Target="https://medicaldialogues.in/news/education/no-immediate-plans-for-next-exam-till-nmc-perfects-the-model-157685" TargetMode="External"/><Relationship Id="rId110" Type="http://schemas.openxmlformats.org/officeDocument/2006/relationships/hyperlink" Target="https://www.adani.com/newsroom/media-releases/adani-to-partner-mayo-clinic-to-establish-affordable-world-class-healthcare-facilities" TargetMode="External"/><Relationship Id="rId111" Type="http://schemas.openxmlformats.org/officeDocument/2006/relationships/hyperlink" Target="https://www.ibef.org/news/ayushman-bharat-digital-mission-crosses-93-95-crore-abha-ids-strengthens-india-s-digital-healthcare-ecosystem" TargetMode="External"/><Relationship Id="rId112" Type="http://schemas.openxmlformats.org/officeDocument/2006/relationships/hyperlink" Target="https://www.gktoday.in/ayushman-bharat-digital-mission-crosses-93-95-crore-health-accounts/" TargetMode="External"/><Relationship Id="rId113" Type="http://schemas.openxmlformats.org/officeDocument/2006/relationships/hyperlink" Target="https://www.bwhealthcareworld.com/article/maharashtra-signs-1-2-billion-deal-to-develop-navi-mumbai-medicity-610344" TargetMode="External"/><Relationship Id="rId114" Type="http://schemas.openxmlformats.org/officeDocument/2006/relationships/hyperlink" Target="https://ddnews.gov.in/en/over-6-4-lakh-foreign-tourists-visited-india-for-medical-treatment-in-2024/" TargetMode="External"/><Relationship Id="rId115" Type="http://schemas.openxmlformats.org/officeDocument/2006/relationships/hyperlink" Target="https://www.insightsonindia.com/2025/08/08/medical-tourism-in-india/" TargetMode="External"/><Relationship Id="rId116" Type="http://schemas.openxmlformats.org/officeDocument/2006/relationships/hyperlink" Target="https://www.businesstoday.in/india/story/indias-medical-tourism-takes-a-hit-as-patient-arrivals-from-bangladesh-plunge-amid-visa-restrictions-466418-2025-03-02" TargetMode="External"/><Relationship Id="rId117" Type="http://schemas.openxmlformats.org/officeDocument/2006/relationships/image" Target="media/image2.png"/><Relationship Id="rId118" Type="http://schemas.openxmlformats.org/officeDocument/2006/relationships/hyperlink" Target="https://childrensheartlink.org/from-philadelphia-to-faridabad-this-hospital-partnership-is-transforming-heart-care-for-children-in-india/" TargetMode="External"/><Relationship Id="rId119" Type="http://schemas.openxmlformats.org/officeDocument/2006/relationships/hyperlink" Target="https://news.emory.edu/stories/2025/05/hs_diabetes_care_india_13-05-2025/story.html" TargetMode="External"/><Relationship Id="rId120" Type="http://schemas.openxmlformats.org/officeDocument/2006/relationships/hyperlink" Target="https://www.hackensackmeridianhealth.org/en/news/2025/01/29/hmh-and-apollo-hospitals-bridge-continents-to-advance-healthcare" TargetMode="External"/><Relationship Id="rId121" Type="http://schemas.openxmlformats.org/officeDocument/2006/relationships/hyperlink" Target="https://www.forbesindia.com/article/leadership/from-beginning-to-end-of-life-ajit-and-sarah-isaac-fill-in-the-blanks/2992863/1" TargetMode="External"/><Relationship Id="rId122" Type="http://schemas.openxmlformats.org/officeDocument/2006/relationships/hyperlink" Target="https://pubmed.ncbi.nlm.nih.gov/41928807/" TargetMode="External"/><Relationship Id="rId123" Type="http://schemas.openxmlformats.org/officeDocument/2006/relationships/hyperlink" Target="https://indiainstitute.jhu.edu/news/news-2025/news-from-gkii-2025/" TargetMode="External"/><Relationship Id="rId124" Type="http://schemas.openxmlformats.org/officeDocument/2006/relationships/hyperlink" Target="https://pubmed.ncbi.nlm.nih.gov/42764545/" TargetMode="External"/><Relationship Id="rId125" Type="http://schemas.openxmlformats.org/officeDocument/2006/relationships/hyperlink" Target="https://oncodaily.com/blog/md-anderson-cancer-center-197733" TargetMode="External"/><Relationship Id="rId126" Type="http://schemas.openxmlformats.org/officeDocument/2006/relationships/hyperlink" Target="https://aiimsmayoclinicupdate2024.com/" TargetMode="External"/><Relationship Id="rId127" Type="http://schemas.openxmlformats.org/officeDocument/2006/relationships/hyperlink" Target="https://www.digitalhealthnews.com/adani-group-to-invest-inr-2-500-cr-in-health-city-project-in-west-bengal" TargetMode="External"/><Relationship Id="rId128" Type="http://schemas.openxmlformats.org/officeDocument/2006/relationships/hyperlink" Target="https://theindianpractitioner.com/lilavati-expands-globally-and-domestically-with-mauritius-gift-city-projects/" TargetMode="External"/><Relationship Id="rId129" Type="http://schemas.openxmlformats.org/officeDocument/2006/relationships/hyperlink" Target="https://www.lilavati-hospital.com/news-and-media.php" TargetMode="External"/><Relationship Id="rId130" Type="http://schemas.openxmlformats.org/officeDocument/2006/relationships/hyperlink" Target="https://www.business-standard.com/amp/content/press-releases-ani/ramaiah-memorial-hospital-brings-700-citizens-together-to-put-heart-health-in-motion-126092801082_1.html" TargetMode="External"/><Relationship Id="rId131" Type="http://schemas.openxmlformats.org/officeDocument/2006/relationships/hyperlink" Target="https://www.insidernj.com/press-release/governor-murphy-celebrates-signing-of-mous-between-new-jersey-and-indian-universities-hospitals-to-advance-cardiovascular-research-and-innovation/" TargetMode="External"/><Relationship Id="rId132" Type="http://schemas.openxmlformats.org/officeDocument/2006/relationships/hyperlink" Target="https://globalhealth.stanford.edu/bidirectional-partnerships/9912.html/" TargetMode="External"/><Relationship Id="rId133" Type="http://schemas.openxmlformats.org/officeDocument/2006/relationships/hyperlink" Target="https://globalhealth.stanford.edu/bidirectional-parnterships/longtime-global-emergency-medicine-collaborators-from-indias-emergency-management-and-research-institute-visit-stanford.html/" TargetMode="External"/><Relationship Id="rId134" Type="http://schemas.openxmlformats.org/officeDocument/2006/relationships/hyperlink" Target="https://pubmed.ncbi.nlm.nih.gov/42045095/" TargetMode="External"/><Relationship Id="rId135" Type="http://schemas.openxmlformats.org/officeDocument/2006/relationships/hyperlink" Target="https://www.uclahealth.org/departments/obgyn/about-us/news/newsletter-summer-2025/new-and-noteworthy" TargetMode="External"/><Relationship Id="rId136" Type="http://schemas.openxmlformats.org/officeDocument/2006/relationships/hyperlink" Target="https://www.uclahealth.org/news/article/ucla-obgyn-global-health-initiatives-spark-learning" TargetMode="External"/><Relationship Id="rId137" Type="http://schemas.openxmlformats.org/officeDocument/2006/relationships/hyperlink" Target="https://www.uab.edu/medicine/news/global-health/new-uab-india-partnership-aims-to-enhance-global-health-training" TargetMode="External"/><Relationship Id="rId138" Type="http://schemas.openxmlformats.org/officeDocument/2006/relationships/hyperlink" Target="https://pubmed.ncbi.nlm.nih.gov/42348235/" TargetMode="External"/><Relationship Id="rId139" Type="http://schemas.openxmlformats.org/officeDocument/2006/relationships/hyperlink" Target="https://iowalionseyebank.org/news/2025/02/iowa-lions-eye-bank-shares-expertise-corneal-specialists-india" TargetMode="External"/><Relationship Id="rId140" Type="http://schemas.openxmlformats.org/officeDocument/2006/relationships/hyperlink" Target="https://collegehai.com/news/aiims-jammu-university-of-michigan-international-conferences" TargetMode="External"/><Relationship Id="rId141" Type="http://schemas.openxmlformats.org/officeDocument/2006/relationships/hyperlink" Target="https://www.ophth.wisc.edu/blog/2025/02/28/india_rotation_2025" TargetMode="External"/><Relationship Id="rId142" Type="http://schemas.openxmlformats.org/officeDocument/2006/relationships/hyperlink" Target="https://telanganatoday.com/apollo-hospitals-launches-international-second-opinion-services-for-patients" TargetMode="External"/><Relationship Id="rId143" Type="http://schemas.openxmlformats.org/officeDocument/2006/relationships/hyperlink" Target="https://onlinelibrary.wiley.com/doi/10.1111/jpm.13115" TargetMode="External"/><Relationship Id="rId144" Type="http://schemas.openxmlformats.org/officeDocument/2006/relationships/hyperlink" Target="https://www.postbulletin.com/business/billionaire-to-partner-with-mayo-clinic-on-india-hospitals" TargetMode="External"/><Relationship Id="rId145" Type="http://schemas.openxmlformats.org/officeDocument/2006/relationships/hyperlink" Target="https://www.prnewswire.com/news-releases/memorial-sloan-kettering-cancer-center-launches-mskcc-india-to-expand-access-to-world-renowned-oncologists-cancer-care-research-and-education-301345795.html" TargetMode="External"/><Relationship Id="rId146" Type="http://schemas.openxmlformats.org/officeDocument/2006/relationships/hyperlink" Target="https://www.northwell.edu/news/the-latest/northwell-signs-5-year-strategic-agreement-india-s-cmc-vellore" TargetMode="External"/><Relationship Id="rId147" Type="http://schemas.openxmlformats.org/officeDocument/2006/relationships/hyperlink" Target="https://www.domain-b.com/companies-organisations/firms-companies/hcl-enters-healthcare-with-hcl-avitas" TargetMode="External"/><Relationship Id="rId148" Type="http://schemas.openxmlformats.org/officeDocument/2006/relationships/hyperlink" Target="https://www.mdanderson.org/education-training/outreach-programs/project-echo/programs/palliative-care-africa.html" TargetMode="External"/><Relationship Id="rId149" Type="http://schemas.openxmlformats.org/officeDocument/2006/relationships/hyperlink" Target="https://www.cuh.nhs.uk/news/health-team-prepare-for-india-mission/" TargetMode="External"/><Relationship Id="rId150" Type="http://schemas.openxmlformats.org/officeDocument/2006/relationships/hyperlink" Target="https://m.thewire.in/article/ptiprnews/sheows-and-juntendo-university-tokyo-sign-mou-to-advance-geriatric-care-and-research-collaboration-between-india-and-japan/amp" TargetMode="External"/><Relationship Id="rId151" Type="http://schemas.openxmlformats.org/officeDocument/2006/relationships/hyperlink" Target="https://www.freepressjournal.in/education/hinduja-foundation-offers-msc-and-phd-scholarships-for-indian-students-at-kings-college-london-for-202627" TargetMode="External"/><Relationship Id="rId152" Type="http://schemas.openxmlformats.org/officeDocument/2006/relationships/hyperlink" Target="https://www.digitalhealthnews.com/monash-university-partners-with-apollo-hospitals-for-digital-health-research" TargetMode="External"/><Relationship Id="rId153" Type="http://schemas.openxmlformats.org/officeDocument/2006/relationships/hyperlink" Target="https://vohnetwork.com/news/hospitals-providers/athulya-senior-care-inks-landmark-mou-with-singhealth-to-advance-senior-care-training-and-research-collaboration" TargetMode="External"/><Relationship Id="rId154" Type="http://schemas.openxmlformats.org/officeDocument/2006/relationships/hyperlink" Target="https://www.ucl.ac.uk/global/news/2025/nov/inaugural-recipients-ucl-aiims-iitd-trilateral-seed-funds-revealed" TargetMode="External"/><Relationship Id="rId155" Type="http://schemas.openxmlformats.org/officeDocument/2006/relationships/hyperlink" Target="https://www.indianpharmapost.com/hospitals/university-of-leicester-apollo-showcase-ai-driven-healthcare-research-to-strengthen-uk-india-collaboration-20937" TargetMode="External"/><Relationship Id="rId156" Type="http://schemas.openxmlformats.org/officeDocument/2006/relationships/hyperlink" Target="https://news.liverpool.ac.uk/2025/07/14/new-partnerships-further-strengthen-liverpool-india-research-and-education-ties/" TargetMode="External"/><Relationship Id="rId157" Type="http://schemas.openxmlformats.org/officeDocument/2006/relationships/hyperlink" Target="https://news.careers360.com/aiims-delhi-munich-based-university-sign-non-binding-mou-for-collaborative-endeavours/amp" TargetMode="External"/><Relationship Id="rId158" Type="http://schemas.openxmlformats.org/officeDocument/2006/relationships/hyperlink" Target="https://newsonair.gov.in/aiims-new-delhi-signed-mou-with-university-of-bolton-institute-of-medicine" TargetMode="External"/><Relationship Id="rId159" Type="http://schemas.openxmlformats.org/officeDocument/2006/relationships/hyperlink" Target="https://ddnews.gov.in/en/west-bengal-joins-ayushman-bharat-pm-jay-completing-nationwide-rollout-of-worlds-largest-health-assurance-scheme/" TargetMode="External"/><Relationship Id="rId160" Type="http://schemas.openxmlformats.org/officeDocument/2006/relationships/hyperlink" Target="https://www.indiatvnews.com/maharashtra/maharashtra-s-mega-medicity-takes-off-cleveland-clinic-joins-rs-10000-crore-healthcare-hub-2026-06-11-1044486" TargetMode="External"/><Relationship Id="rId161" Type="http://schemas.openxmlformats.org/officeDocument/2006/relationships/hyperlink" Target="https://www.deccanherald.com/india/maharashtra/maharashtra-signs-mou-with-cleveland-clinic-led-consortium-for-12-billion-navi-mumbai-medicity-4034760" TargetMode="External"/><Relationship Id="rId162" Type="http://schemas.openxmlformats.org/officeDocument/2006/relationships/hyperlink" Target="https://www.businesstoday.in/markets/stocks/story/manipal-health-enterprises-makes-solid-stock-market-debut-shares-list-at-11-premium-547257-2026-08-05" TargetMode="External"/><Relationship Id="rId163" Type="http://schemas.openxmlformats.org/officeDocument/2006/relationships/hyperlink" Target="https://www.tradingview.com/news/modular_finance:0f6ef34bba47c:0-medicover-divests-its-india-hospital-business-enabling-accelerated-strategy-execution-in-europe/" TargetMode="External"/><Relationship Id="rId164" Type="http://schemas.openxmlformats.org/officeDocument/2006/relationships/hyperlink" Target="https://www.business-standard.com/amp/companies/news/kkr-pumps-13-188-cr-into-india-expansion-acquires-medicover-hospitals-126080601947_1.html" TargetMode="External"/><Relationship Id="rId165" Type="http://schemas.openxmlformats.org/officeDocument/2006/relationships/hyperlink" Target="https://www.indiagazette.com/news/279327335/ayushman-bharat-completes-8-years-with-health-cover-of-rs-5-lakh-to-over-12-crore-families-nha-ceo" TargetMode="External"/><Relationship Id="rId166" Type="http://schemas.openxmlformats.org/officeDocument/2006/relationships/header" Target="header1.xml"/><Relationship Id="rId167" Type="http://schemas.openxmlformats.org/officeDocument/2006/relationships/header" Target="header2.xml"/><Relationship Id="rId168" Type="http://schemas.openxmlformats.org/officeDocument/2006/relationships/header" Target="header3.xml"/><Relationship Id="rId169" Type="http://schemas.openxmlformats.org/officeDocument/2006/relationships/footer" Target="footer2.xml"/><Relationship Id="rId17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