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0" w:line="22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18"/>
          <w:szCs w:val="18"/>
          <w:b w:val="1"/>
        </w:rPr>
        <w:t>COUNTRY PROFILE AND MARKET INTELLIGENCE</w:t>
      </w:r>
    </w:p>
    <w:p>
      <w:pPr>
        <w:pStyle w:val="Title"/>
        <w:widowControl/>
        <w:spacing w:before="0" w:after="80" w:line="70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60"/>
          <w:szCs w:val="60"/>
          <w:b w:val="1"/>
        </w:rPr>
        <w:t>Indonesia</w:t>
      </w:r>
    </w:p>
    <w:p>
      <w:pPr>
        <w:widowControl/>
        <w:spacing w:before="0" w:after="300" w:line="340" w:lineRule="exact"/>
        <w:ind w:left="0" w:firstLine="0" w:right="0"/>
        <w:jc w:val="left"/>
      </w:pPr>
      <w:r>
        <w:rPr>
          <w:rFonts w:ascii="Arial" w:hAnsi="Arial" w:eastAsia="Arial" w:cs="Arial"/>
          <w:color w:val="282829"/>
          <w:sz w:val="26"/>
          <w:szCs w:val="26"/>
        </w:rPr>
        <w:t>Executive summary</w:t>
      </w:r>
    </w:p>
    <w:p>
      <w:pPr>
        <w:keepNext/>
        <w:spacing w:after="120" w:before="60" w:line="240" w:lineRule="auto"/>
        <w:ind w:left="0" w:firstLine="0" w:right="0"/>
      </w:pPr>
      <w:r>
        <w:drawing>
          <wp:inline xmlns:a="http://schemas.openxmlformats.org/drawingml/2006/main" xmlns:pic="http://schemas.openxmlformats.org/drawingml/2006/picture" distL="0" distR="0" distT="0" distB="0">
            <wp:extent cx="6400800" cy="3601872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onesi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200" w:line="228" w:lineRule="exact"/>
        <w:ind w:left="0" w:firstLine="0" w:right="0"/>
        <w:jc w:val="right"/>
      </w:pPr>
      <w:r>
        <w:rPr>
          <w:rFonts w:ascii="Arial" w:hAnsi="Arial" w:eastAsia="Arial" w:cs="Arial"/>
          <w:color w:val="616161"/>
          <w:sz w:val="18"/>
          <w:szCs w:val="18"/>
        </w:rPr>
        <w:t>Photo: Gunawan Kartapranata (Public domain), via Wikimedia Commons</w:t>
      </w:r>
    </w:p>
    <w:p>
      <w:pPr>
        <w:pStyle w:val="Heading2"/>
        <w:keepNext/>
        <w:keepLines/>
        <w:widowControl/>
        <w:spacing w:before="200" w:after="140" w:line="32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5"/>
          <w:szCs w:val="25"/>
          <w:b w:val="1"/>
        </w:rPr>
        <w:t>Contents</w:t>
      </w:r>
    </w:p>
    <w:p>
      <w:pPr>
        <w:widowControl/>
        <w:tabs>
          <w:tab w:pos="10080" w:val="right" w:leader="dot"/>
        </w:tabs>
        <w:spacing w:before="0" w:after="60" w:line="280" w:lineRule="exact"/>
        <w:ind w:left="0" w:firstLine="0" w:right="0"/>
        <w:jc w:val="left"/>
      </w:pPr>
      <w:hyperlink w:anchor="glance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At a glance</w:t>
        </w:r>
      </w:hyperlink>
      <w:r>
        <w:rPr>
          <w:rFonts w:ascii="Arial" w:hAnsi="Arial" w:eastAsia="Arial" w:cs="Arial"/>
          <w:color w:val="282829"/>
          <w:sz w:val="21"/>
          <w:szCs w:val="21"/>
        </w:rPr>
        <w:tab/>
        <w:t>2</w:t>
      </w:r>
    </w:p>
    <w:p>
      <w:pPr>
        <w:widowControl/>
        <w:tabs>
          <w:tab w:pos="10080" w:val="right" w:leader="dot"/>
        </w:tabs>
        <w:spacing w:before="0" w:after="60" w:line="280" w:lineRule="exact"/>
        <w:ind w:left="0" w:firstLine="0" w:right="0"/>
        <w:jc w:val="left"/>
      </w:pPr>
      <w:hyperlink w:anchor="health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Health system</w:t>
        </w:r>
      </w:hyperlink>
      <w:r>
        <w:rPr>
          <w:rFonts w:ascii="Arial" w:hAnsi="Arial" w:eastAsia="Arial" w:cs="Arial"/>
          <w:color w:val="282829"/>
          <w:sz w:val="21"/>
          <w:szCs w:val="21"/>
        </w:rPr>
        <w:tab/>
        <w:t>3</w:t>
      </w:r>
    </w:p>
    <w:p>
      <w:pPr>
        <w:widowControl/>
        <w:tabs>
          <w:tab w:pos="10080" w:val="right" w:leader="dot"/>
        </w:tabs>
        <w:spacing w:before="0" w:after="60" w:line="280" w:lineRule="exact"/>
        <w:ind w:left="0" w:firstLine="0" w:right="0"/>
        <w:jc w:val="left"/>
      </w:pPr>
      <w:hyperlink w:anchor="market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Market and competition</w:t>
        </w:r>
      </w:hyperlink>
      <w:r>
        <w:rPr>
          <w:rFonts w:ascii="Arial" w:hAnsi="Arial" w:eastAsia="Arial" w:cs="Arial"/>
          <w:color w:val="282829"/>
          <w:sz w:val="21"/>
          <w:szCs w:val="21"/>
        </w:rPr>
        <w:tab/>
        <w:t>4</w:t>
      </w:r>
    </w:p>
    <w:p>
      <w:pPr>
        <w:widowControl/>
        <w:tabs>
          <w:tab w:pos="10080" w:val="right" w:leader="dot"/>
        </w:tabs>
        <w:spacing w:before="0" w:after="60" w:line="280" w:lineRule="exact"/>
        <w:ind w:left="0" w:firstLine="0" w:right="0"/>
        <w:jc w:val="left"/>
      </w:pPr>
      <w:hyperlink w:anchor="institutions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Institution directory</w:t>
        </w:r>
      </w:hyperlink>
      <w:r>
        <w:rPr>
          <w:rFonts w:ascii="Arial" w:hAnsi="Arial" w:eastAsia="Arial" w:cs="Arial"/>
          <w:color w:val="282829"/>
          <w:sz w:val="21"/>
          <w:szCs w:val="21"/>
        </w:rPr>
        <w:tab/>
        <w:t>5</w:t>
      </w:r>
    </w:p>
    <w:p>
      <w:pPr>
        <w:widowControl/>
        <w:tabs>
          <w:tab w:pos="10080" w:val="right" w:leader="dot"/>
        </w:tabs>
        <w:spacing w:before="0" w:after="60" w:line="280" w:lineRule="exact"/>
        <w:ind w:left="0" w:firstLine="0" w:right="0"/>
        <w:jc w:val="left"/>
      </w:pPr>
      <w:hyperlink w:anchor="position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CSI position and risks</w:t>
        </w:r>
      </w:hyperlink>
      <w:r>
        <w:rPr>
          <w:rFonts w:ascii="Arial" w:hAnsi="Arial" w:eastAsia="Arial" w:cs="Arial"/>
          <w:color w:val="282829"/>
          <w:sz w:val="21"/>
          <w:szCs w:val="21"/>
        </w:rPr>
        <w:tab/>
        <w:t>6</w:t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Prepared 7 October 2026. Analyst review draft. Numbered citations refer to Indonesia_Profile_DRAFT_SOURCES.docx.</w:t>
      </w:r>
    </w:p>
    <w:p>
      <w:pPr>
        <w:spacing w:before="0" w:after="0" w:line="20" w:lineRule="exact"/>
      </w:pPr>
      <w:r>
        <w:rPr>
          <w:rFonts w:ascii="Arial" w:hAnsi="Arial" w:eastAsia="Arial" w:cs="Arial"/>
          <w:color w:val="282829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bookmarkStart w:id="718" w:name="glance"/>
      <w:r>
        <w:rPr>
          <w:rFonts w:ascii="Arial" w:hAnsi="Arial" w:eastAsia="Arial" w:cs="Arial"/>
          <w:color w:val="DC1E34"/>
          <w:sz w:val="42"/>
          <w:szCs w:val="42"/>
          <w:b w:val="1"/>
        </w:rPr>
        <w:t>At a glance</w:t>
      </w:r>
      <w:bookmarkEnd w:id="718"/>
    </w:p>
    <w:tbl>
      <w:tblPr>
        <w:tblW w:type="auto" w:w="0"/>
        <w:jc w:val="lef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val="clear" w:color="auto" w:fill="F7F7F7"/>
            <w:tcMar>
              <w:top w:type="dxa" w:w="95"/>
              <w:bottom w:type="dxa" w:w="95"/>
              <w:left w:type="dxa" w:w="130"/>
              <w:right w:type="dxa" w:w="130"/>
            </w:tcMar>
          </w:tcPr>
          <w:p>
            <w:pPr>
              <w:widowControl/>
              <w:spacing w:before="0" w:after="80" w:line="380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32"/>
                <w:szCs w:val="32"/>
                <w:b w:val="1"/>
              </w:rPr>
              <w:t>About 285.7 m</w:t>
            </w:r>
          </w:p>
          <w:p>
            <w:pPr>
              <w:widowControl/>
              <w:spacing w:before="0" w:after="0" w:line="224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616161"/>
                <w:sz w:val="18"/>
                <w:szCs w:val="18"/>
              </w:rPr>
              <w:t>Population, 2025 estimate</w:t>
            </w:r>
            <w:hyperlink r:id="rId12">
              <w:r>
                <w:rPr>
                  <w:rFonts w:ascii="Arial" w:hAnsi="Arial" w:eastAsia="Arial" w:cs="Arial"/>
                  <w:vertAlign w:val="superscript"/>
                  <w:color w:val="DC1E34"/>
                  <w:sz w:val="16"/>
                  <w:szCs w:val="16"/>
                </w:rPr>
                <w:t xml:space="preserve">2</w:t>
              </w:r>
            </w:hyperlink>
          </w:p>
        </w:tc>
        <w:tc>
          <w:tcPr>
            <w:tcW w:type="dxa" w:w="5040"/>
            <w:vAlign w:val="center"/>
            <w:shd w:val="clear" w:color="auto" w:fill="F7F7F7"/>
            <w:tcMar>
              <w:top w:type="dxa" w:w="95"/>
              <w:bottom w:type="dxa" w:w="95"/>
              <w:left w:type="dxa" w:w="130"/>
              <w:right w:type="dxa" w:w="130"/>
            </w:tcMar>
          </w:tcPr>
          <w:p>
            <w:pPr>
              <w:widowControl/>
              <w:spacing w:before="0" w:after="80" w:line="380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32"/>
                <w:szCs w:val="32"/>
                <w:b w:val="1"/>
              </w:rPr>
              <w:t>About 17,660</w:t>
            </w:r>
          </w:p>
          <w:p>
            <w:pPr>
              <w:widowControl/>
              <w:spacing w:before="0" w:after="0" w:line="224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616161"/>
                <w:sz w:val="18"/>
                <w:szCs w:val="18"/>
              </w:rPr>
              <w:t>GDP per capita, current international dollars (PPP), 2025</w:t>
            </w:r>
            <w:hyperlink r:id="rId13">
              <w:r>
                <w:rPr>
                  <w:rFonts w:ascii="Arial" w:hAnsi="Arial" w:eastAsia="Arial" w:cs="Arial"/>
                  <w:vertAlign w:val="superscript"/>
                  <w:color w:val="DC1E34"/>
                  <w:sz w:val="16"/>
                  <w:szCs w:val="16"/>
                </w:rPr>
                <w:t xml:space="preserve">4</w:t>
              </w:r>
            </w:hyperlink>
          </w:p>
        </w:tc>
      </w:tr>
      <w:tr>
        <w:trPr>
          <w:cantSplit/>
        </w:trPr>
        <w:tc>
          <w:tcPr>
            <w:tcW w:type="dxa" w:w="5040"/>
            <w:vAlign w:val="center"/>
            <w:shd w:val="clear" w:color="auto" w:fill="F7F7F7"/>
            <w:tcMar>
              <w:top w:type="dxa" w:w="95"/>
              <w:bottom w:type="dxa" w:w="95"/>
              <w:left w:type="dxa" w:w="130"/>
              <w:right w:type="dxa" w:w="130"/>
            </w:tcMar>
          </w:tcPr>
          <w:p>
            <w:pPr>
              <w:widowControl/>
              <w:spacing w:before="0" w:after="80" w:line="380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32"/>
                <w:szCs w:val="32"/>
                <w:b w:val="1"/>
              </w:rPr>
              <w:t>5.11%</w:t>
            </w:r>
          </w:p>
          <w:p>
            <w:pPr>
              <w:widowControl/>
              <w:spacing w:before="0" w:after="0" w:line="224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616161"/>
                <w:sz w:val="18"/>
                <w:szCs w:val="18"/>
              </w:rPr>
              <w:t>GDP growth, 2025</w:t>
            </w:r>
            <w:hyperlink r:id="rId14">
              <w:r>
                <w:rPr>
                  <w:rFonts w:ascii="Arial" w:hAnsi="Arial" w:eastAsia="Arial" w:cs="Arial"/>
                  <w:vertAlign w:val="superscript"/>
                  <w:color w:val="DC1E34"/>
                  <w:sz w:val="16"/>
                  <w:szCs w:val="16"/>
                </w:rPr>
                <w:t xml:space="preserve">18</w:t>
              </w:r>
            </w:hyperlink>
          </w:p>
        </w:tc>
        <w:tc>
          <w:tcPr>
            <w:tcW w:type="dxa" w:w="5040"/>
            <w:vAlign w:val="center"/>
            <w:shd w:val="clear" w:color="auto" w:fill="F7F7F7"/>
            <w:tcMar>
              <w:top w:type="dxa" w:w="95"/>
              <w:bottom w:type="dxa" w:w="95"/>
              <w:left w:type="dxa" w:w="130"/>
              <w:right w:type="dxa" w:w="130"/>
            </w:tcMar>
          </w:tcPr>
          <w:p>
            <w:pPr>
              <w:widowControl/>
              <w:spacing w:before="0" w:after="80" w:line="380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32"/>
                <w:szCs w:val="32"/>
                <w:b w:val="1"/>
              </w:rPr>
              <w:t>2.70%</w:t>
            </w:r>
          </w:p>
          <w:p>
            <w:pPr>
              <w:widowControl/>
              <w:spacing w:before="0" w:after="0" w:line="224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616161"/>
                <w:sz w:val="18"/>
                <w:szCs w:val="18"/>
              </w:rPr>
              <w:t>Current health expenditure, share of GDP, 2023</w:t>
            </w:r>
            <w:hyperlink r:id="rId15">
              <w:r>
                <w:rPr>
                  <w:rFonts w:ascii="Arial" w:hAnsi="Arial" w:eastAsia="Arial" w:cs="Arial"/>
                  <w:vertAlign w:val="superscript"/>
                  <w:color w:val="DC1E34"/>
                  <w:sz w:val="16"/>
                  <w:szCs w:val="16"/>
                </w:rPr>
                <w:t xml:space="preserve">39</w:t>
              </w:r>
            </w:hyperlink>
          </w:p>
        </w:tc>
      </w:tr>
      <w:tr>
        <w:trPr>
          <w:cantSplit/>
        </w:trPr>
        <w:tc>
          <w:tcPr>
            <w:tcW w:type="dxa" w:w="5040"/>
            <w:vAlign w:val="center"/>
            <w:shd w:val="clear" w:color="auto" w:fill="F7F7F7"/>
            <w:tcMar>
              <w:top w:type="dxa" w:w="95"/>
              <w:bottom w:type="dxa" w:w="95"/>
              <w:left w:type="dxa" w:w="130"/>
              <w:right w:type="dxa" w:w="130"/>
            </w:tcMar>
          </w:tcPr>
          <w:p>
            <w:pPr>
              <w:widowControl/>
              <w:spacing w:before="0" w:after="80" w:line="380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32"/>
                <w:szCs w:val="32"/>
                <w:b w:val="1"/>
              </w:rPr>
              <w:t>31.1%</w:t>
            </w:r>
          </w:p>
          <w:p>
            <w:pPr>
              <w:widowControl/>
              <w:spacing w:before="0" w:after="0" w:line="224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616161"/>
                <w:sz w:val="18"/>
                <w:szCs w:val="18"/>
              </w:rPr>
              <w:t>Out-of-pocket share of current health expenditure, 2023</w:t>
            </w:r>
            <w:hyperlink r:id="rId16">
              <w:r>
                <w:rPr>
                  <w:rFonts w:ascii="Arial" w:hAnsi="Arial" w:eastAsia="Arial" w:cs="Arial"/>
                  <w:vertAlign w:val="superscript"/>
                  <w:color w:val="DC1E34"/>
                  <w:sz w:val="16"/>
                  <w:szCs w:val="16"/>
                </w:rPr>
                <w:t xml:space="preserve">42</w:t>
              </w:r>
            </w:hyperlink>
          </w:p>
        </w:tc>
        <w:tc>
          <w:tcPr>
            <w:tcW w:type="dxa" w:w="5040"/>
            <w:vAlign w:val="center"/>
            <w:shd w:val="clear" w:color="auto" w:fill="F7F7F7"/>
            <w:tcMar>
              <w:top w:type="dxa" w:w="95"/>
              <w:bottom w:type="dxa" w:w="95"/>
              <w:left w:type="dxa" w:w="130"/>
              <w:right w:type="dxa" w:w="130"/>
            </w:tcMar>
          </w:tcPr>
          <w:p>
            <w:pPr>
              <w:widowControl/>
              <w:spacing w:before="0" w:after="80" w:line="380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32"/>
                <w:szCs w:val="32"/>
                <w:b w:val="1"/>
              </w:rPr>
              <w:t>0.52</w:t>
            </w:r>
          </w:p>
          <w:p>
            <w:pPr>
              <w:widowControl/>
              <w:spacing w:before="0" w:after="0" w:line="224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616161"/>
                <w:sz w:val="18"/>
                <w:szCs w:val="18"/>
              </w:rPr>
              <w:t>Physicians per 1,000 people, 2023</w:t>
            </w:r>
            <w:hyperlink r:id="rId17">
              <w:r>
                <w:rPr>
                  <w:rFonts w:ascii="Arial" w:hAnsi="Arial" w:eastAsia="Arial" w:cs="Arial"/>
                  <w:vertAlign w:val="superscript"/>
                  <w:color w:val="DC1E34"/>
                  <w:sz w:val="16"/>
                  <w:szCs w:val="16"/>
                </w:rPr>
                <w:t xml:space="preserve">46</w:t>
              </w:r>
            </w:hyperlink>
          </w:p>
        </w:tc>
      </w:tr>
      <w:tr>
        <w:trPr>
          <w:cantSplit/>
        </w:trPr>
        <w:tc>
          <w:tcPr>
            <w:tcW w:type="dxa" w:w="5040"/>
            <w:vAlign w:val="center"/>
            <w:shd w:val="clear" w:color="auto" w:fill="F7F7F7"/>
            <w:tcMar>
              <w:top w:type="dxa" w:w="95"/>
              <w:bottom w:type="dxa" w:w="95"/>
              <w:left w:type="dxa" w:w="130"/>
              <w:right w:type="dxa" w:w="130"/>
            </w:tcMar>
          </w:tcPr>
          <w:p>
            <w:pPr>
              <w:widowControl/>
              <w:spacing w:before="0" w:after="80" w:line="380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32"/>
                <w:szCs w:val="32"/>
                <w:b w:val="1"/>
              </w:rPr>
              <w:t>1.37</w:t>
            </w:r>
          </w:p>
          <w:p>
            <w:pPr>
              <w:widowControl/>
              <w:spacing w:before="0" w:after="0" w:line="224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616161"/>
                <w:sz w:val="18"/>
                <w:szCs w:val="18"/>
              </w:rPr>
              <w:t>Hospital beds per 1,000 people, 2023</w:t>
            </w:r>
            <w:hyperlink r:id="rId18">
              <w:r>
                <w:rPr>
                  <w:rFonts w:ascii="Arial" w:hAnsi="Arial" w:eastAsia="Arial" w:cs="Arial"/>
                  <w:vertAlign w:val="superscript"/>
                  <w:color w:val="DC1E34"/>
                  <w:sz w:val="16"/>
                  <w:szCs w:val="16"/>
                </w:rPr>
                <w:t xml:space="preserve">48</w:t>
              </w:r>
            </w:hyperlink>
          </w:p>
        </w:tc>
        <w:tc>
          <w:tcPr>
            <w:tcW w:type="dxa" w:w="5040"/>
            <w:vAlign w:val="center"/>
            <w:shd w:val="clear" w:color="auto" w:fill="F7F7F7"/>
            <w:tcMar>
              <w:top w:type="dxa" w:w="95"/>
              <w:bottom w:type="dxa" w:w="95"/>
              <w:left w:type="dxa" w:w="130"/>
              <w:right w:type="dxa" w:w="130"/>
            </w:tcMar>
          </w:tcPr>
          <w:p>
            <w:pPr>
              <w:widowControl/>
              <w:spacing w:before="0" w:after="80" w:line="380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32"/>
                <w:szCs w:val="32"/>
                <w:b w:val="1"/>
              </w:rPr>
              <w:t>58%</w:t>
            </w:r>
          </w:p>
          <w:p>
            <w:pPr>
              <w:widowControl/>
              <w:spacing w:before="0" w:after="0" w:line="224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616161"/>
                <w:sz w:val="18"/>
                <w:szCs w:val="18"/>
              </w:rPr>
              <w:t>Private share of general hospitals, 2024</w:t>
            </w:r>
            <w:hyperlink r:id="rId19">
              <w:r>
                <w:rPr>
                  <w:rFonts w:ascii="Arial" w:hAnsi="Arial" w:eastAsia="Arial" w:cs="Arial"/>
                  <w:vertAlign w:val="superscript"/>
                  <w:color w:val="DC1E34"/>
                  <w:sz w:val="16"/>
                  <w:szCs w:val="16"/>
                </w:rPr>
                <w:t xml:space="preserve">32</w:t>
              </w:r>
            </w:hyperlink>
          </w:p>
        </w:tc>
      </w:tr>
    </w:tbl>
    <w:p>
      <w:pPr>
        <w:pStyle w:val="Heading2"/>
        <w:keepNext/>
        <w:keepLines/>
        <w:widowControl/>
        <w:spacing w:before="200" w:after="140" w:line="32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5"/>
          <w:szCs w:val="25"/>
          <w:b w:val="1"/>
        </w:rPr>
        <w:t>Country background</w:t>
      </w:r>
    </w:p>
    <w:p>
      <w:pPr>
        <w:keepLines/>
        <w:widowControl/>
        <w:spacing w:before="0" w:after="120" w:line="288" w:lineRule="exact"/>
        <w:ind w:left="0" w:firstLine="0" w:right="0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>Indonesia, with Jakarta as its capital, is a republic led by a directly elected president.</w:t>
      </w:r>
      <w:hyperlink r:id="rId20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</w:t>
        </w:r>
      </w:hyperlink>
      <w:r>
        <w:rPr>
          <w:rFonts w:ascii="Arial" w:hAnsi="Arial" w:eastAsia="Arial" w:cs="Arial"/>
          <w:color w:val="282829"/>
          <w:sz w:val="22"/>
          <w:szCs w:val="22"/>
        </w:rPr>
        <w:t xml:space="preserve"> President Prabowo Subianto and Vice President Gibran Rakabuming Raka were sworn in on October 20, 2024, for the 2024 to 2029 term.</w:t>
      </w:r>
      <w:hyperlink r:id="rId21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5</w:t>
        </w:r>
      </w:hyperlink>
    </w:p>
    <w:p>
      <w:pPr>
        <w:keepLines/>
        <w:widowControl/>
        <w:spacing w:before="0" w:after="120" w:line="288" w:lineRule="exact"/>
        <w:ind w:left="0" w:firstLine="0" w:right="0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>Its population was estimated at about 285.7 million in 2025, with 59.4 percent living in urban areas and 7.5 percent aged 65 and over.</w:t>
      </w:r>
      <w:hyperlink r:id="rId12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2,</w:t>
        </w:r>
      </w:hyperlink>
      <w:hyperlink r:id="rId22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8,</w:t>
        </w:r>
      </w:hyperlink>
      <w:hyperlink r:id="rId23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10</w:t>
        </w:r>
      </w:hyperlink>
      <w:r>
        <w:rPr>
          <w:rFonts w:ascii="Arial" w:hAnsi="Arial" w:eastAsia="Arial" w:cs="Arial"/>
          <w:color w:val="282829"/>
          <w:sz w:val="22"/>
          <w:szCs w:val="22"/>
        </w:rPr>
        <w:t xml:space="preserve"> Life expectancy was 71.3 years in 2024, when fertility stood at 2.12 births per woman.</w:t>
      </w:r>
      <w:hyperlink r:id="rId24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9,</w:t>
        </w:r>
      </w:hyperlink>
      <w:hyperlink r:id="rId25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11</w:t>
        </w:r>
      </w:hyperlink>
      <w:r>
        <w:rPr>
          <w:rFonts w:ascii="Arial" w:hAnsi="Arial" w:eastAsia="Arial" w:cs="Arial"/>
          <w:color w:val="282829"/>
          <w:sz w:val="22"/>
          <w:szCs w:val="22"/>
        </w:rPr>
        <w:t xml:space="preserve"> The economy grew 5.11 percent in 2025; the World Bank's June 2026 forecast projects 5.0 percent growth in 2026.</w:t>
      </w:r>
      <w:hyperlink r:id="rId14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18,</w:t>
        </w:r>
      </w:hyperlink>
      <w:hyperlink r:id="rId26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20</w:t>
        </w:r>
      </w:hyperlink>
      <w:r>
        <w:rPr>
          <w:rFonts w:ascii="Arial" w:hAnsi="Arial" w:eastAsia="Arial" w:cs="Arial"/>
          <w:color w:val="282829"/>
          <w:sz w:val="22"/>
          <w:szCs w:val="22"/>
        </w:rPr>
        <w:t xml:space="preserve"> GDP was about 5.05 trillion current international dollars at purchasing power parity in 2025.</w:t>
      </w:r>
      <w:hyperlink r:id="rId27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</w:t>
        </w:r>
      </w:hyperlink>
    </w:p>
    <w:p>
      <w:pPr>
        <w:keepLines/>
        <w:widowControl/>
        <w:spacing w:before="0" w:after="120" w:line="288" w:lineRule="exact"/>
        <w:ind w:left="0" w:firstLine="0" w:right="0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>Noncommunicable diseases cause about two-thirds of deaths, while tuberculosis incidence was 382 per 100,000 people in 2024.</w:t>
      </w:r>
      <w:hyperlink r:id="rId28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12,</w:t>
        </w:r>
      </w:hyperlink>
      <w:hyperlink r:id="rId29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25</w:t>
        </w:r>
      </w:hyperlink>
      <w:r>
        <w:rPr>
          <w:rFonts w:ascii="Arial" w:hAnsi="Arial" w:eastAsia="Arial" w:cs="Arial"/>
          <w:color w:val="282829"/>
          <w:sz w:val="22"/>
          <w:szCs w:val="22"/>
        </w:rPr>
        <w:t xml:space="preserve"> A central financing risk is JKN's deficit: BPJS Kesehatan warned it could begin missing claim payments by July 2027 without government intervention.</w:t>
      </w:r>
      <w:hyperlink r:id="rId30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31</w:t>
        </w:r>
      </w:hyperlink>
    </w:p>
    <w:p>
      <w:pPr>
        <w:pStyle w:val="Heading2"/>
        <w:keepNext/>
        <w:keepLines/>
        <w:widowControl/>
        <w:spacing w:before="200" w:after="140" w:line="32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5"/>
          <w:szCs w:val="25"/>
          <w:b w:val="1"/>
        </w:rPr>
        <w:t>Key takeaways for CSI</w:t>
      </w:r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>•</w:t>
        <w:tab/>
      </w:r>
      <w:r>
        <w:rPr>
          <w:rFonts w:ascii="Arial" w:hAnsi="Arial" w:eastAsia="Arial" w:cs="Arial"/>
          <w:color w:val="282829"/>
          <w:sz w:val="22"/>
          <w:szCs w:val="22"/>
        </w:rPr>
        <w:t>JKN covered 282.7 million people at the end of 2025, but only 81.45 percent of members were active.</w:t>
      </w:r>
      <w:hyperlink r:id="rId31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30,</w:t>
        </w:r>
      </w:hyperlink>
      <w:hyperlink r:id="rId30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31</w:t>
        </w:r>
      </w:hyperlink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>•</w:t>
        <w:tab/>
      </w:r>
      <w:r>
        <w:rPr>
          <w:rFonts w:ascii="Arial" w:hAnsi="Arial" w:eastAsia="Arial" w:cs="Arial"/>
          <w:color w:val="282829"/>
          <w:sz w:val="22"/>
          <w:szCs w:val="22"/>
        </w:rPr>
        <w:t>World Bank financing is deploying 419 catheterization laboratories and is expected to upgrade 560 hospitals by 2029.</w:t>
      </w:r>
      <w:hyperlink r:id="rId28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12</w:t>
        </w:r>
      </w:hyperlink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>•</w:t>
        <w:tab/>
      </w:r>
      <w:r>
        <w:rPr>
          <w:rFonts w:ascii="Arial" w:hAnsi="Arial" w:eastAsia="Arial" w:cs="Arial"/>
          <w:color w:val="282829"/>
          <w:sz w:val="22"/>
          <w:szCs w:val="22"/>
        </w:rPr>
        <w:t>The Health Ministry projects a shortage of around 70,000 specialists through 2032, despite plans to expand domestic training.</w:t>
      </w:r>
      <w:hyperlink r:id="rId32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49,</w:t>
        </w:r>
      </w:hyperlink>
      <w:hyperlink r:id="rId33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50</w:t>
        </w:r>
      </w:hyperlink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>•</w:t>
        <w:tab/>
      </w:r>
      <w:r>
        <w:rPr>
          <w:rFonts w:ascii="Arial" w:hAnsi="Arial" w:eastAsia="Arial" w:cs="Arial"/>
          <w:color w:val="282829"/>
          <w:sz w:val="22"/>
          <w:szCs w:val="22"/>
        </w:rPr>
        <w:t>Batam's planned 250-bed Mayapada-Apollo hospital targets full operations for late 2027, combining local investment with foreign expertise.</w:t>
      </w:r>
      <w:hyperlink r:id="rId34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38</w:t>
        </w:r>
      </w:hyperlink>
    </w:p>
    <w:p>
      <w:pPr>
        <w:spacing w:before="0" w:after="0" w:line="20" w:lineRule="exact"/>
      </w:pPr>
      <w:r>
        <w:rPr>
          <w:rFonts w:ascii="Arial" w:hAnsi="Arial" w:eastAsia="Arial" w:cs="Arial"/>
          <w:color w:val="282829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bookmarkStart w:id="730" w:name="health"/>
      <w:r>
        <w:rPr>
          <w:rFonts w:ascii="Arial" w:hAnsi="Arial" w:eastAsia="Arial" w:cs="Arial"/>
          <w:color w:val="DC1E34"/>
          <w:sz w:val="42"/>
          <w:szCs w:val="42"/>
          <w:b w:val="1"/>
        </w:rPr>
        <w:t>Health system</w:t>
      </w:r>
      <w:bookmarkEnd w:id="730"/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>•</w:t>
        <w:tab/>
      </w:r>
      <w:r>
        <w:rPr>
          <w:rFonts w:ascii="Arial" w:hAnsi="Arial" w:eastAsia="Arial" w:cs="Arial"/>
          <w:color w:val="282829"/>
          <w:sz w:val="22"/>
          <w:szCs w:val="22"/>
        </w:rPr>
        <w:t>Health service visits under JKN rose from 378 million in 2020 to 686 million in 2024, the World Bank reports.</w:t>
      </w:r>
      <w:hyperlink r:id="rId28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12</w:t>
        </w:r>
      </w:hyperlink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>•</w:t>
        <w:tab/>
      </w:r>
      <w:r>
        <w:rPr>
          <w:rFonts w:ascii="Arial" w:hAnsi="Arial" w:eastAsia="Arial" w:cs="Arial"/>
          <w:color w:val="282829"/>
          <w:sz w:val="22"/>
          <w:szCs w:val="22"/>
        </w:rPr>
        <w:t>Government financed 53.6 percent of health spending in 2023, while households paid 31.1 percent out of pocket.</w:t>
      </w:r>
      <w:hyperlink r:id="rId35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41,</w:t>
        </w:r>
      </w:hyperlink>
      <w:hyperlink r:id="rId16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42</w:t>
        </w:r>
      </w:hyperlink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>•</w:t>
        <w:tab/>
      </w:r>
      <w:r>
        <w:rPr>
          <w:rFonts w:ascii="Arial" w:hAnsi="Arial" w:eastAsia="Arial" w:cs="Arial"/>
          <w:color w:val="282829"/>
          <w:sz w:val="22"/>
          <w:szCs w:val="22"/>
        </w:rPr>
        <w:t>Hospital-based specialist training prioritizes general practitioners from underserved regions; the health minister says local trainees will not pay fees.</w:t>
      </w:r>
      <w:hyperlink r:id="rId33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50</w:t>
        </w:r>
      </w:hyperlink>
    </w:p>
    <w:p>
      <w:pPr>
        <w:keepNext/>
        <w:widowControl/>
        <w:spacing w:before="120" w:after="80" w:line="260" w:lineRule="exact"/>
        <w:ind w:left="0" w:firstLine="0" w:right="0"/>
        <w:jc w:val="left"/>
      </w:pPr>
      <w:r>
        <w:rPr>
          <w:rFonts w:ascii="Arial" w:hAnsi="Arial" w:eastAsia="Arial" w:cs="Arial"/>
          <w:color w:val="282829"/>
          <w:sz w:val="21"/>
          <w:szCs w:val="21"/>
          <w:b w:val="1"/>
        </w:rPr>
        <w:t>Indonesia: health spending and out-of-pocket share, 2012 to 2023</w:t>
      </w:r>
    </w:p>
    <w:p>
      <w:pPr>
        <w:keepNext/>
        <w:spacing w:after="120" w:before="60" w:line="240" w:lineRule="auto"/>
        <w:ind w:left="0" w:firstLine="0" w:right="0"/>
      </w:pPr>
      <w:r>
        <w:drawing>
          <wp:inline xmlns:a="http://schemas.openxmlformats.org/drawingml/2006/main" xmlns:pic="http://schemas.openxmlformats.org/drawingml/2006/picture" distL="0" distR="0" distT="0" distB="0">
            <wp:extent cx="6400800" cy="2423160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nd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100" w:line="210" w:lineRule="exact"/>
        <w:ind w:left="0" w:right="0" w:firstLine="0"/>
        <w:jc w:val="left"/>
      </w:pPr>
      <w:r>
        <w:rPr>
          <w:rFonts w:ascii="Arial" w:hAnsi="Arial" w:eastAsia="Arial" w:cs="Arial"/>
          <w:color w:val="616161"/>
          <w:sz w:val="17"/>
          <w:szCs w:val="17"/>
        </w:rPr>
        <w:t xml:space="preserve">Current health expenditure is shown as a share of GDP; out-of-pocket spending is shown as a share of current health expenditure. Sources: </w:t>
      </w:r>
      <w:hyperlink r:id="rId15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39,</w:t>
        </w:r>
      </w:hyperlink>
      <w:hyperlink r:id="rId16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42</w:t>
        </w:r>
      </w:hyperlink>
    </w:p>
    <w:p>
      <w:pPr>
        <w:keepNext/>
        <w:widowControl/>
        <w:spacing w:before="120" w:after="80" w:line="260" w:lineRule="exact"/>
        <w:ind w:left="0" w:firstLine="0" w:right="0"/>
        <w:jc w:val="left"/>
      </w:pPr>
      <w:r>
        <w:rPr>
          <w:rFonts w:ascii="Arial" w:hAnsi="Arial" w:eastAsia="Arial" w:cs="Arial"/>
          <w:color w:val="282829"/>
          <w:sz w:val="21"/>
          <w:szCs w:val="21"/>
          <w:b w:val="1"/>
        </w:rPr>
        <w:t>Physicians per 1,000 people, Indonesia and comparators</w:t>
      </w:r>
    </w:p>
    <w:p>
      <w:pPr>
        <w:keepNext/>
        <w:spacing w:after="120" w:before="60" w:line="240" w:lineRule="auto"/>
        <w:ind w:left="0" w:firstLine="0" w:right="0"/>
      </w:pPr>
      <w:r>
        <w:drawing>
          <wp:inline xmlns:a="http://schemas.openxmlformats.org/drawingml/2006/main" xmlns:pic="http://schemas.openxmlformats.org/drawingml/2006/picture" distL="0" distR="0" distT="0" distB="0">
            <wp:extent cx="6400800" cy="2194560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orc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100" w:line="210" w:lineRule="exact"/>
        <w:ind w:left="0" w:right="0" w:firstLine="0"/>
        <w:jc w:val="left"/>
      </w:pPr>
      <w:r>
        <w:rPr>
          <w:rFonts w:ascii="Arial" w:hAnsi="Arial" w:eastAsia="Arial" w:cs="Arial"/>
          <w:color w:val="616161"/>
          <w:sz w:val="17"/>
          <w:szCs w:val="17"/>
        </w:rPr>
        <w:t xml:space="preserve">Historical World Bank cross-section: 2021 for countries and 2022 for OECD members and world aggregates. Indonesia’s separately reported 2023 value is 0.52 physicians per 1,000; the chart retains the common 2021 country reference year and does not establish a comparable trend. Sources: </w:t>
      </w:r>
      <w:hyperlink r:id="rId17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46</w:t>
        </w:r>
      </w:hyperlink>
    </w:p>
    <w:p>
      <w:pPr>
        <w:spacing w:before="0" w:after="0" w:line="20" w:lineRule="exact"/>
      </w:pPr>
      <w:r>
        <w:rPr>
          <w:rFonts w:ascii="Arial" w:hAnsi="Arial" w:eastAsia="Arial" w:cs="Arial"/>
          <w:color w:val="282829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bookmarkStart w:id="744" w:name="market"/>
      <w:r>
        <w:rPr>
          <w:rFonts w:ascii="Arial" w:hAnsi="Arial" w:eastAsia="Arial" w:cs="Arial"/>
          <w:color w:val="DC1E34"/>
          <w:sz w:val="42"/>
          <w:szCs w:val="42"/>
          <w:b w:val="1"/>
        </w:rPr>
        <w:t>Market and competition</w:t>
      </w:r>
      <w:bookmarkEnd w:id="744"/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>•</w:t>
        <w:tab/>
      </w:r>
      <w:r>
        <w:rPr>
          <w:rFonts w:ascii="Arial" w:hAnsi="Arial" w:eastAsia="Arial" w:cs="Arial"/>
          <w:color w:val="282829"/>
          <w:sz w:val="22"/>
          <w:szCs w:val="22"/>
        </w:rPr>
        <w:t>Private operators ran 1,576 of 2,710 general hospitals in 2024, and listed hospital chains continue to expand.</w:t>
      </w:r>
      <w:hyperlink r:id="rId19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32,</w:t>
        </w:r>
      </w:hyperlink>
      <w:hyperlink r:id="rId38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36</w:t>
        </w:r>
      </w:hyperlink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>•</w:t>
        <w:tab/>
      </w:r>
      <w:r>
        <w:rPr>
          <w:rFonts w:ascii="Arial" w:hAnsi="Arial" w:eastAsia="Arial" w:cs="Arial"/>
          <w:color w:val="282829"/>
          <w:sz w:val="22"/>
          <w:szCs w:val="22"/>
        </w:rPr>
        <w:t>Malaysia-based A1Health owns nine Indonesian hospitals, including RS Premier facilities, adding foreign ownership to the competitive landscape.</w:t>
      </w:r>
      <w:hyperlink r:id="rId39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52</w:t>
        </w:r>
      </w:hyperlink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>•</w:t>
        <w:tab/>
      </w:r>
      <w:r>
        <w:rPr>
          <w:rFonts w:ascii="Arial" w:hAnsi="Arial" w:eastAsia="Arial" w:cs="Arial"/>
          <w:color w:val="282829"/>
          <w:sz w:val="22"/>
          <w:szCs w:val="22"/>
        </w:rPr>
        <w:t>Australia's Icon operates Bali International Hospital's cancer service, while SingHealth supports the institution as its academic partner.</w:t>
      </w:r>
      <w:hyperlink r:id="rId40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53,</w:t>
        </w:r>
      </w:hyperlink>
      <w:hyperlink r:id="rId41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54</w:t>
        </w:r>
      </w:hyperlink>
    </w:p>
    <w:p>
      <w:pPr>
        <w:keepNext/>
        <w:widowControl/>
        <w:spacing w:before="120" w:after="80" w:line="260" w:lineRule="exact"/>
        <w:ind w:left="0" w:firstLine="0" w:right="0"/>
        <w:jc w:val="left"/>
      </w:pPr>
      <w:r>
        <w:rPr>
          <w:rFonts w:ascii="Arial" w:hAnsi="Arial" w:eastAsia="Arial" w:cs="Arial"/>
          <w:color w:val="282829"/>
          <w:sz w:val="21"/>
          <w:szCs w:val="21"/>
          <w:b w:val="1"/>
        </w:rPr>
        <w:t>Indonesia: hospital beds per 1,000 people, 2012 to 2023</w:t>
      </w:r>
    </w:p>
    <w:p>
      <w:pPr>
        <w:keepNext/>
        <w:spacing w:after="120" w:before="60" w:line="240" w:lineRule="auto"/>
        <w:ind w:left="0" w:firstLine="0" w:right="0"/>
      </w:pPr>
      <w:r>
        <w:drawing>
          <wp:inline xmlns:a="http://schemas.openxmlformats.org/drawingml/2006/main" xmlns:pic="http://schemas.openxmlformats.org/drawingml/2006/picture" distL="0" distR="0" distT="0" distB="0">
            <wp:extent cx="6400800" cy="2011680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100" w:line="210" w:lineRule="exact"/>
        <w:ind w:left="0" w:right="0" w:firstLine="0"/>
        <w:jc w:val="left"/>
      </w:pPr>
      <w:r>
        <w:rPr>
          <w:rFonts w:ascii="Arial" w:hAnsi="Arial" w:eastAsia="Arial" w:cs="Arial"/>
          <w:color w:val="616161"/>
          <w:sz w:val="17"/>
          <w:szCs w:val="17"/>
        </w:rPr>
        <w:t xml:space="preserve">Hospital beds per 1,000 people as published in the World Bank indicator SH.MED.BEDS.ZS. Sources: </w:t>
      </w:r>
      <w:hyperlink r:id="rId18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48</w:t>
        </w:r>
      </w:hyperlink>
    </w:p>
    <w:p>
      <w:pPr>
        <w:pStyle w:val="Heading2"/>
        <w:keepNext/>
        <w:keepLines/>
        <w:widowControl/>
        <w:spacing w:before="200" w:after="140" w:line="32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5"/>
          <w:szCs w:val="25"/>
          <w:b w:val="1"/>
        </w:rPr>
        <w:t>Active partnerships in Indonesia</w:t>
      </w:r>
    </w:p>
    <w:p>
      <w:pPr>
        <w:keepNext/>
        <w:spacing w:after="120" w:before="60" w:line="240" w:lineRule="auto"/>
        <w:ind w:left="0" w:firstLine="0" w:right="0"/>
      </w:pPr>
      <w:r>
        <w:drawing>
          <wp:inline xmlns:a="http://schemas.openxmlformats.org/drawingml/2006/main" xmlns:pic="http://schemas.openxmlformats.org/drawingml/2006/picture" distL="0" distR="0" distT="0" distB="0">
            <wp:extent cx="6400800" cy="288036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onesia_partnerships_ma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Active foreign health-system partnerships by city of the partner in Indonesia. Source: CSI partnerships tracker, verified 2026-10-07. Boundaries: Natural Earth; not an official depiction. Mapped: 22 active relationships with identified Indonesian sites. Five national or overseas-training programs are omitted. Greater Jakarta and Tegal/Brebes are grouped; one relationship may span cities. The planned Batam hospital is not shown.</w:t>
      </w:r>
    </w:p>
    <w:p>
      <w:pPr>
        <w:spacing w:before="0" w:after="0" w:line="20" w:lineRule="exact"/>
      </w:pPr>
      <w:r>
        <w:rPr>
          <w:rFonts w:ascii="Arial" w:hAnsi="Arial" w:eastAsia="Arial" w:cs="Arial"/>
          <w:color w:val="282829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bookmarkStart w:id="1441" w:name="institutions"/>
      <w:r>
        <w:rPr>
          <w:rFonts w:ascii="Arial" w:hAnsi="Arial" w:eastAsia="Arial" w:cs="Arial"/>
          <w:color w:val="DC1E34"/>
          <w:sz w:val="42"/>
          <w:szCs w:val="42"/>
          <w:b w:val="1"/>
        </w:rPr>
        <w:t>Institution directory</w:t>
      </w:r>
      <w:bookmarkEnd w:id="1441"/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25 foreign institutions with confirmed active partnerships (27 in all): 12 training and education, 8 clinical affiliation, 2 research collaboration, 2 advisory and consulting, 2 ownership or management, 1 government agreement. Sources in the profile and the partnerships tracker.</w:t>
      </w:r>
    </w:p>
    <w:tbl>
      <w:tblPr>
        <w:tblW w:type="dxa" w:w="10080"/>
        <w:jc w:val="lef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firstColumn="1" w:firstRow="1" w:lastColumn="0" w:lastRow="0" w:noHBand="0" w:noVBand="1" w:val="04A0"/>
      </w:tblPr>
      <w:tblGrid>
        <w:gridCol w:w="6192"/>
        <w:gridCol w:w="3888"/>
      </w:tblGrid>
      <w:tr>
        <w:trPr>
          <w:tblHeader/>
          <w:cantSplit/>
        </w:trPr>
        <w:tc>
          <w:tcPr>
            <w:tcW w:type="dxa" w:w="6192"/>
            <w:shd w:val="clear" w:color="auto" w:fill="DC1E34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Next/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FFFFFF"/>
                <w:sz w:val="21"/>
                <w:szCs w:val="21"/>
                <w:b w:val="1"/>
              </w:rPr>
              <w:t>Institution</w:t>
            </w:r>
          </w:p>
        </w:tc>
        <w:tc>
          <w:tcPr>
            <w:tcW w:type="dxa" w:w="3888"/>
            <w:shd w:val="clear" w:color="auto" w:fill="DC1E34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Next/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FFFFFF"/>
                <w:sz w:val="21"/>
                <w:szCs w:val="21"/>
                <w:b w:val="1"/>
              </w:rPr>
              <w:t>Nature of collaboration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Cedars-Sinai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Harvard Medical School and Brigham and Women's Hospital (Program in Global Primary Health Care)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MD Anderson Cancer Center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Advisory and consulting, Government agreement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Mayo Clinic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St. Jude Children's Research Hospital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Apollo Hospitals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Asia OneHealthcare (A1Health; formerly Columbia Asia Healthcare)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Ownership or management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Chung Shan Medical University (Taiwan)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Hong Kong Asia Medical Group (HKAMG)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Icon Group (Icon Cancer Centre)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Ownership or management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International University of Health and Welfare (IUHW)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Kobe University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Monash Health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Ramathibodi Hospital, Mahidol University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Sapporo Cardiovascular Clinic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Seoul National University Hospital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Clinical affiliation, 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SingHealth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Advisory and consulting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SingHealth Duke-NUS Global Health Institute (SingHealth and Duke-NUS Medical School)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Sun Medical Center / Sun Healthcare International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Taipei Veterans General Hospital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Tokushukai Medical Group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University of Glasgow and CRUK Scotland Institute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Wuhan Asia Heart Hospital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Zhongda Hospital (Southeast University)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82829"/>
                <w:sz w:val="21"/>
                <w:szCs w:val="21"/>
              </w:rPr>
              <w:t>Zhongshan Hospital (Fudan University)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2F4F7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82829"/>
                <w:sz w:val="21"/>
                <w:szCs w:val="21"/>
              </w:rPr>
              <w:t>Training and education</w:t>
            </w:r>
          </w:p>
        </w:tc>
      </w:tr>
    </w:tbl>
    <w:p>
      <w:pPr>
        <w:widowControl/>
        <w:spacing w:before="0" w:after="60" w:line="40" w:lineRule="exact"/>
        <w:ind w:left="0" w:firstLine="0" w:right="0"/>
        <w:jc w:val="left"/>
      </w:pPr>
    </w:p>
    <w:p>
      <w:pPr>
        <w:spacing w:before="0" w:after="0" w:line="20" w:lineRule="exact"/>
      </w:pPr>
      <w:r>
        <w:rPr>
          <w:rFonts w:ascii="Arial" w:hAnsi="Arial" w:eastAsia="Arial" w:cs="Arial"/>
          <w:color w:val="282829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bookmarkStart w:id="985" w:name="position"/>
      <w:r>
        <w:rPr>
          <w:rFonts w:ascii="Arial" w:hAnsi="Arial" w:eastAsia="Arial" w:cs="Arial"/>
          <w:color w:val="DC1E34"/>
          <w:sz w:val="42"/>
          <w:szCs w:val="42"/>
          <w:b w:val="1"/>
        </w:rPr>
        <w:t>CSI position and risks</w:t>
      </w:r>
      <w:bookmarkEnd w:id="985"/>
    </w:p>
    <w:p>
      <w:pPr>
        <w:pStyle w:val="Heading2"/>
        <w:keepNext/>
        <w:keepLines/>
        <w:widowControl/>
        <w:spacing w:before="200" w:after="140" w:line="32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5"/>
          <w:szCs w:val="25"/>
          <w:b w:val="1"/>
        </w:rPr>
        <w:t>CSI partnerships in Indonesia</w:t>
      </w:r>
    </w:p>
    <w:p>
      <w:pPr>
        <w:widowControl/>
        <w:spacing w:before="0" w:after="100" w:line="28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20"/>
          <w:szCs w:val="20"/>
        </w:rPr>
        <w:t>[MANUAL INPUT REQUIRED]</w:t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To be completed by CSI from internal data; not researched.</w:t>
      </w:r>
    </w:p>
    <w:p>
      <w:pPr>
        <w:pStyle w:val="Heading2"/>
        <w:keepNext/>
        <w:keepLines/>
        <w:widowControl/>
        <w:spacing w:before="200" w:after="140" w:line="32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5"/>
          <w:szCs w:val="25"/>
          <w:b w:val="1"/>
        </w:rPr>
        <w:t>Opportunities for CSI</w:t>
      </w:r>
    </w:p>
    <w:p>
      <w:pPr>
        <w:widowControl/>
        <w:spacing w:before="0" w:after="100" w:line="28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20"/>
          <w:szCs w:val="20"/>
        </w:rPr>
        <w:t>[MANUAL INPUT REQUIRED]</w:t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To be completed by CSI from internal data; not researched.</w:t>
      </w:r>
    </w:p>
    <w:p>
      <w:pPr>
        <w:pStyle w:val="Heading2"/>
        <w:keepNext/>
        <w:keepLines/>
        <w:widowControl/>
        <w:spacing w:before="200" w:after="140" w:line="32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5"/>
          <w:szCs w:val="25"/>
          <w:b w:val="1"/>
        </w:rPr>
        <w:t>Risks and watch items</w:t>
      </w:r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>•</w:t>
        <w:tab/>
      </w:r>
      <w:r>
        <w:rPr>
          <w:rFonts w:ascii="Arial" w:hAnsi="Arial" w:eastAsia="Arial" w:cs="Arial"/>
          <w:color w:val="282829"/>
          <w:sz w:val="22"/>
          <w:szCs w:val="22"/>
        </w:rPr>
        <w:t xml:space="preserve">The JKN fund recorded a Rp 17.13 trillion (US$948 million) deficit in 2025, compared with Rp 7.66 trillion (US$424 million) in 2024.</w:t>
      </w:r>
      <w:hyperlink r:id="rId44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45</w:t>
        </w:r>
      </w:hyperlink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>•</w:t>
        <w:tab/>
      </w:r>
      <w:r>
        <w:rPr>
          <w:rFonts w:ascii="Arial" w:hAnsi="Arial" w:eastAsia="Arial" w:cs="Arial"/>
          <w:color w:val="282829"/>
          <w:sz w:val="22"/>
          <w:szCs w:val="22"/>
        </w:rPr>
        <w:t>Indonesia's 2.70 percent health expenditure share of GDP in 2023 trailed Malaysia, Thailand, Vietnam and the Philippines.</w:t>
      </w:r>
      <w:hyperlink r:id="rId45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43</w:t>
        </w:r>
      </w:hyperlink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>•</w:t>
        <w:tab/>
      </w:r>
      <w:r>
        <w:rPr>
          <w:rFonts w:ascii="Arial" w:hAnsi="Arial" w:eastAsia="Arial" w:cs="Arial"/>
          <w:color w:val="282829"/>
          <w:sz w:val="22"/>
          <w:szCs w:val="22"/>
        </w:rPr>
        <w:t>Foreign-doctor licensing remained difficult in early 2025, with medical association requests for Indonesian language skills and needs-based recruitment.</w:t>
      </w:r>
      <w:hyperlink r:id="rId46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7</w:t>
        </w:r>
      </w:hyperlink>
    </w:p>
    <w:p>
      <w:pPr>
        <w:pStyle w:val="Heading2"/>
        <w:keepNext/>
        <w:keepLines/>
        <w:widowControl/>
        <w:spacing w:before="200" w:after="140" w:line="32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5"/>
          <w:szCs w:val="25"/>
          <w:b w:val="1"/>
        </w:rPr>
        <w:t>Recent developments</w:t>
      </w:r>
    </w:p>
    <w:p>
      <w:pPr>
        <w:keepNext/>
        <w:widowControl/>
        <w:spacing w:before="100" w:after="80" w:line="26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0"/>
          <w:szCs w:val="20"/>
          <w:b w:val="1"/>
        </w:rPr>
        <w:t>2026-08-04</w:t>
      </w:r>
    </w:p>
    <w:p>
      <w:pPr>
        <w:keepLines/>
        <w:widowControl/>
        <w:spacing w:before="0" w:after="120" w:line="288" w:lineRule="exact"/>
        <w:ind w:left="0" w:firstLine="0" w:right="0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>Free health checks reached 73.8 million in 2026 through July 31, following about 70 million during 2025.</w:t>
      </w:r>
      <w:hyperlink r:id="rId47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16</w:t>
        </w:r>
      </w:hyperlink>
    </w:p>
    <w:p>
      <w:pPr>
        <w:keepNext/>
        <w:widowControl/>
        <w:spacing w:before="100" w:after="80" w:line="26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0"/>
          <w:szCs w:val="20"/>
          <w:b w:val="1"/>
        </w:rPr>
        <w:t>2026-06-09</w:t>
      </w:r>
    </w:p>
    <w:p>
      <w:pPr>
        <w:keepLines/>
        <w:widowControl/>
        <w:spacing w:before="0" w:after="120" w:line="288" w:lineRule="exact"/>
        <w:ind w:left="0" w:firstLine="0" w:right="0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 xml:space="preserve">BPJS Kesehatan reported monthly deficits of about Rp 2 trillion (US$111 million) and expected a Rp 20 trillion (US$1.11 billion) government capital injection.</w:t>
      </w:r>
      <w:hyperlink r:id="rId30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31</w:t>
        </w:r>
      </w:hyperlink>
    </w:p>
    <w:p>
      <w:pPr>
        <w:keepNext/>
        <w:widowControl/>
        <w:spacing w:before="100" w:after="80" w:line="26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0"/>
          <w:szCs w:val="20"/>
          <w:b w:val="1"/>
        </w:rPr>
        <w:t>2026-08-14</w:t>
      </w:r>
    </w:p>
    <w:p>
      <w:pPr>
        <w:keepLines/>
        <w:widowControl/>
        <w:spacing w:before="0" w:after="120" w:line="288" w:lineRule="exact"/>
        <w:ind w:left="0" w:firstLine="0" w:right="0"/>
        <w:jc w:val="left"/>
      </w:pPr>
      <w:r>
        <w:rPr>
          <w:rFonts w:ascii="Arial" w:hAnsi="Arial" w:eastAsia="Arial" w:cs="Arial"/>
          <w:color w:val="282829"/>
          <w:sz w:val="22"/>
          <w:szCs w:val="22"/>
        </w:rPr>
        <w:t xml:space="preserve">The 2027 draft health budget proposed Rp 244.9 trillion (US$13.5 billion), up 1.7 percent on the 2026 outlook of Rp 240.8 trillion (US$13.3 billion).</w:t>
      </w:r>
      <w:hyperlink r:id="rId48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35</w:t>
        </w:r>
      </w:hyperlink>
    </w:p>
    <w:sectPr w:rsidR="00FC693F" w:rsidRPr="0006063C" w:rsidSect="00034616">
      <w:headerReference w:type="default" r:id="rId9"/>
      <w:footerReference w:type="default" r:id="rId10"/>
      <w:headerReference w:type="first" r:id="rId49"/>
      <w:headerReference w:type="even" r:id="rId50"/>
      <w:footerReference w:type="first" r:id="rId51"/>
      <w:footerReference w:type="even" r:id="rId52"/>
      <w:pgSz w:w="12240" w:h="15840"/>
      <w:pgMar w:top="979" w:right="1080" w:bottom="979" w:left="1080" w:header="10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/>
      <w:tabs>
        <w:tab w:pos="10080" w:val="right"/>
      </w:tabs>
      <w:spacing w:before="0" w:after="0" w:line="200" w:lineRule="exact"/>
      <w:ind w:left="0" w:firstLine="0" w:right="0"/>
      <w:jc w:val="left"/>
    </w:pPr>
    <w:r>
      <w:rPr>
        <w:rFonts w:ascii="Arial" w:hAnsi="Arial" w:eastAsia="Arial" w:cs="Arial"/>
        <w:color w:val="76777A"/>
        <w:sz w:val="15"/>
        <w:szCs w:val="16"/>
      </w:rPr>
      <w:t>Executive summary  |  Analyst review draft  |  7 October 2026</w:t>
      <w:tab/>
    </w:r>
    <w:r>
      <w:rPr>
        <w:rFonts w:ascii="Arial" w:hAnsi="Arial" w:eastAsia="Arial" w:cs="Arial"/>
        <w:color w:val="76777A"/>
        <w:sz w:val="15"/>
        <w:szCs w:val="16"/>
      </w:rPr>
      <w:fldChar w:fldCharType="begin"/>
    </w:r>
    <w:r>
      <w:rPr>
        <w:rFonts w:ascii="Arial" w:hAnsi="Arial" w:eastAsia="Arial" w:cs="Arial"/>
        <w:color w:val="76777A"/>
        <w:sz w:val="15"/>
        <w:szCs w:val="16"/>
      </w:rPr>
      <w:instrText xml:space="preserve"> PAGE </w:instrText>
    </w:r>
    <w:r>
      <w:rPr>
        <w:rFonts w:ascii="Arial" w:hAnsi="Arial" w:eastAsia="Arial" w:cs="Arial"/>
        <w:color w:val="76777A"/>
        <w:sz w:val="15"/>
        <w:szCs w:val="16"/>
      </w:rPr>
      <w:fldChar w:fldCharType="separate"/>
    </w:r>
    <w:r>
      <w:rPr>
        <w:rFonts w:ascii="Arial" w:hAnsi="Arial" w:eastAsia="Arial" w:cs="Arial"/>
        <w:color w:val="76777A"/>
        <w:sz w:val="15"/>
        <w:szCs w:val="16"/>
      </w:rPr>
      <w:t>1</w:t>
    </w:r>
    <w:r>
      <w:rPr>
        <w:rFonts w:ascii="Arial" w:hAnsi="Arial" w:eastAsia="Arial" w:cs="Arial"/>
        <w:color w:val="76777A"/>
        <w:sz w:val="15"/>
        <w:szCs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rPr>
        <w:rFonts w:ascii="Arial" w:hAnsi="Arial"/>
        <w:color w:val="76777A"/>
        <w:sz w:val="15"/>
      </w:rPr>
      <w:t>Cedars-Sinai International | Indonesia</w:t>
      <w:tab/>
    </w:r>
    <w:fldSimple w:instr="PAGE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rPr>
        <w:rFonts w:ascii="Arial" w:hAnsi="Arial"/>
        <w:color w:val="76777A"/>
        <w:sz w:val="15"/>
      </w:rPr>
      <w:t>Cedars-Sinai International | Indonesia</w:t>
      <w:tab/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080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INDONESIA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080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INDONESIA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080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INDONESIA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view w:val="print"/>
  <w:updateFields w:val="false"/>
  <w:autoHyphenation w:val="false"/>
  <w:doNotHyphenateCap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="276" w:lineRule="auto"/>
      <w:ind w:left="0" w:right="0" w:firstLine="0"/>
    </w:pPr>
    <w:rPr>
      <w:rFonts w:ascii="Arial" w:hAnsi="Arial" w:cs="Arial" w:eastAsia="Arial"/>
      <w:color w:val="2828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 w:eastAsia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 w:eastAsia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76" w:lineRule="auto"/>
      <w:ind w:left="0" w:right="0" w:firstLine="0"/>
      <w:outlineLvl w:val="0"/>
    </w:pPr>
    <w:rPr>
      <w:rFonts w:ascii="Arial" w:hAnsi="Arial" w:eastAsia="Arial" w:cs="Arial"/>
      <w:b/>
      <w:bCs/>
      <w:color w:val="DC1E34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40" w:line="276" w:lineRule="auto"/>
      <w:ind w:left="0" w:right="0" w:firstLine="0"/>
      <w:outlineLvl w:val="1"/>
    </w:pPr>
    <w:rPr>
      <w:rFonts w:ascii="Arial" w:hAnsi="Arial" w:eastAsia="Arial" w:cs="Arial"/>
      <w:b/>
      <w:bCs/>
      <w:color w:val="DC1E3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40" w:line="276" w:lineRule="auto"/>
      <w:ind w:left="0" w:right="0" w:firstLine="0"/>
      <w:outlineLvl w:val="2"/>
    </w:pPr>
    <w:rPr>
      <w:rFonts w:ascii="Arial" w:hAnsi="Arial" w:eastAsia="Arial" w:cs="Arial"/>
      <w:b/>
      <w:bCs/>
      <w:color w:val="DC1E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DC1E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DC1E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DC1E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DC1E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DC1E34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DC1E34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</w:rPr>
  </w:style>
  <w:style w:type="table" w:default="1" w:styleId="TableNormal">
    <w:name w:val="Normal Table"/>
    <w:uiPriority w:val="99"/>
    <w:semiHidden/>
    <w:unhideWhenUsed/>
    <w:rPr>
      <w:rFonts w:ascii="Arial" w:hAnsi="Arial" w:cs="Arial" w:eastAsia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 w:eastAsia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DC1E3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DC1E34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DC1E3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 w:before="0"/>
      <w:ind w:left="0" w:right="0" w:firstLine="0"/>
      <w:contextualSpacing/>
    </w:pPr>
    <w:rPr>
      <w:rFonts w:ascii="Arial" w:hAnsi="Arial" w:eastAsia="Arial" w:cs="Arial"/>
      <w:color w:val="DC1E3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DC1E34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before="0" w:line="276" w:lineRule="auto"/>
      <w:ind w:left="0" w:right="0" w:firstLine="0"/>
    </w:pPr>
    <w:rPr>
      <w:rFonts w:ascii="Arial" w:hAnsi="Arial" w:eastAsia="Arial" w:cs="Arial"/>
      <w:i/>
      <w:iCs/>
      <w:color w:val="61616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282829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 w:eastAsia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 w:eastAsia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 w:eastAsia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 w:eastAsia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cs="Arial" w:eastAsia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 w:eastAsia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 w:eastAsia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 w:eastAsia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 w:eastAsia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 w:eastAsia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 w:eastAsia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 w:eastAsia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 w:eastAsia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 w:eastAsia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 w:eastAsia="Arial"/>
      <w:i/>
      <w:iCs/>
      <w:color w:val="282829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 w:eastAsia="Arial"/>
      <w:i/>
      <w:iCs/>
      <w:color w:val="28282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DC1E3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DC1E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DC1E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DC1E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DC1E34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DC1E34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/>
      <w:bCs/>
      <w:color w:val="28282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 w:eastAsia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 w:eastAsia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cs="Arial" w:eastAsia="Arial"/>
      <w:b/>
      <w:bCs/>
      <w:i/>
      <w:iCs/>
      <w:color w:val="28282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 w:eastAsia="Arial"/>
      <w:b/>
      <w:bCs/>
      <w:i/>
      <w:iCs/>
      <w:color w:val="282829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 w:eastAsia="Arial"/>
      <w:i/>
      <w:iCs/>
      <w:color w:val="282829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 w:eastAsia="Arial"/>
      <w:b/>
      <w:bCs/>
      <w:i/>
      <w:iCs/>
      <w:color w:val="282829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 w:eastAsia="Arial"/>
      <w:smallCaps/>
      <w:color w:val="282829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 w:eastAsia="Arial"/>
      <w:b/>
      <w:bCs/>
      <w:smallCaps/>
      <w:color w:val="282829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 w:eastAsia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 w:eastAsia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282829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282829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282829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282829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282829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282829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282829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282829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282829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282829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282829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282829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282829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282829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82829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282829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282829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282829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282829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282829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282829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282829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282829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282829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282829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282829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282829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282829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282829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282829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282829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282829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282829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282829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282829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282829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282829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282829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282829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282829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282829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282829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282829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282829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282829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282829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282829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282829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282829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282829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282829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282829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282829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282829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282829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282829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82829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282829"/>
      </w:rPr>
    </w:tblStylePr>
    <w:tblStylePr w:type="nwCell">
      <w:rPr>
        <w:color w:val="282829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82829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282829"/>
      </w:rPr>
    </w:tblStylePr>
    <w:tblStylePr w:type="nwCell">
      <w:rPr>
        <w:color w:val="282829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82829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282829"/>
      </w:rPr>
    </w:tblStylePr>
    <w:tblStylePr w:type="nwCell">
      <w:rPr>
        <w:color w:val="282829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82829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82829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282829"/>
      </w:rPr>
    </w:tblStylePr>
    <w:tblStylePr w:type="nwCell">
      <w:rPr>
        <w:color w:val="282829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82829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282829"/>
      </w:rPr>
    </w:tblStylePr>
    <w:tblStylePr w:type="nwCell">
      <w:rPr>
        <w:color w:val="282829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82829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282829"/>
      </w:rPr>
    </w:tblStylePr>
    <w:tblStylePr w:type="nwCell">
      <w:rPr>
        <w:color w:val="282829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282829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282829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282829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282829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282829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282829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282829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282829"/>
      </w:rPr>
      <w:tblPr/>
      <w:tcPr>
        <w:shd w:val="clear" w:color="auto" w:fill="999999" w:themeFill="text1" w:themeFillTint="66"/>
      </w:tcPr>
    </w:tblStylePr>
    <w:tblStylePr w:type="firstCol">
      <w:rPr>
        <w:color w:val="282829"/>
      </w:rPr>
      <w:tblPr/>
      <w:tcPr>
        <w:shd w:val="clear" w:color="auto" w:fill="000000" w:themeFill="text1" w:themeFillShade="BF"/>
      </w:tcPr>
    </w:tblStylePr>
    <w:tblStylePr w:type="lastCol">
      <w:rPr>
        <w:color w:val="282829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282829"/>
      </w:rPr>
      <w:tblPr/>
      <w:tcPr>
        <w:shd w:val="clear" w:color="auto" w:fill="B8CCE4" w:themeFill="accent1" w:themeFillTint="66"/>
      </w:tcPr>
    </w:tblStylePr>
    <w:tblStylePr w:type="firstCol">
      <w:rPr>
        <w:color w:val="282829"/>
      </w:rPr>
      <w:tblPr/>
      <w:tcPr>
        <w:shd w:val="clear" w:color="auto" w:fill="365F91" w:themeFill="accent1" w:themeFillShade="BF"/>
      </w:tcPr>
    </w:tblStylePr>
    <w:tblStylePr w:type="lastCol">
      <w:rPr>
        <w:color w:val="282829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282829"/>
      </w:rPr>
      <w:tblPr/>
      <w:tcPr>
        <w:shd w:val="clear" w:color="auto" w:fill="E5B8B7" w:themeFill="accent2" w:themeFillTint="66"/>
      </w:tcPr>
    </w:tblStylePr>
    <w:tblStylePr w:type="firstCol">
      <w:rPr>
        <w:color w:val="282829"/>
      </w:rPr>
      <w:tblPr/>
      <w:tcPr>
        <w:shd w:val="clear" w:color="auto" w:fill="943634" w:themeFill="accent2" w:themeFillShade="BF"/>
      </w:tcPr>
    </w:tblStylePr>
    <w:tblStylePr w:type="lastCol">
      <w:rPr>
        <w:color w:val="282829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282829"/>
      </w:rPr>
      <w:tblPr/>
      <w:tcPr>
        <w:shd w:val="clear" w:color="auto" w:fill="D6E3BC" w:themeFill="accent3" w:themeFillTint="66"/>
      </w:tcPr>
    </w:tblStylePr>
    <w:tblStylePr w:type="firstCol">
      <w:rPr>
        <w:color w:val="282829"/>
      </w:rPr>
      <w:tblPr/>
      <w:tcPr>
        <w:shd w:val="clear" w:color="auto" w:fill="76923C" w:themeFill="accent3" w:themeFillShade="BF"/>
      </w:tcPr>
    </w:tblStylePr>
    <w:tblStylePr w:type="lastCol">
      <w:rPr>
        <w:color w:val="282829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282829"/>
      </w:rPr>
      <w:tblPr/>
      <w:tcPr>
        <w:shd w:val="clear" w:color="auto" w:fill="CCC0D9" w:themeFill="accent4" w:themeFillTint="66"/>
      </w:tcPr>
    </w:tblStylePr>
    <w:tblStylePr w:type="firstCol">
      <w:rPr>
        <w:color w:val="282829"/>
      </w:rPr>
      <w:tblPr/>
      <w:tcPr>
        <w:shd w:val="clear" w:color="auto" w:fill="5F497A" w:themeFill="accent4" w:themeFillShade="BF"/>
      </w:tcPr>
    </w:tblStylePr>
    <w:tblStylePr w:type="lastCol">
      <w:rPr>
        <w:color w:val="282829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282829"/>
      </w:rPr>
      <w:tblPr/>
      <w:tcPr>
        <w:shd w:val="clear" w:color="auto" w:fill="B6DDE8" w:themeFill="accent5" w:themeFillTint="66"/>
      </w:tcPr>
    </w:tblStylePr>
    <w:tblStylePr w:type="firstCol">
      <w:rPr>
        <w:color w:val="282829"/>
      </w:rPr>
      <w:tblPr/>
      <w:tcPr>
        <w:shd w:val="clear" w:color="auto" w:fill="31849B" w:themeFill="accent5" w:themeFillShade="BF"/>
      </w:tcPr>
    </w:tblStylePr>
    <w:tblStylePr w:type="lastCol">
      <w:rPr>
        <w:color w:val="282829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282829"/>
      </w:rPr>
      <w:tblPr/>
      <w:tcPr>
        <w:shd w:val="clear" w:color="auto" w:fill="FBD4B4" w:themeFill="accent6" w:themeFillTint="66"/>
      </w:tcPr>
    </w:tblStylePr>
    <w:tblStylePr w:type="firstCol">
      <w:rPr>
        <w:color w:val="282829"/>
      </w:rPr>
      <w:tblPr/>
      <w:tcPr>
        <w:shd w:val="clear" w:color="auto" w:fill="E36C0A" w:themeFill="accent6" w:themeFillShade="BF"/>
      </w:tcPr>
    </w:tblStylePr>
    <w:tblStylePr w:type="lastCol">
      <w:rPr>
        <w:color w:val="282829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hyperlink" Target="https://api.worldbank.org/v2/country/IDN/indicator/SP.POP.TOTL?format=json" TargetMode="External"/><Relationship Id="rId13" Type="http://schemas.openxmlformats.org/officeDocument/2006/relationships/hyperlink" Target="https://api.worldbank.org/v2/country/IDN/indicator/NY.GDP.PCAP.PP.CD?format=json" TargetMode="External"/><Relationship Id="rId14" Type="http://schemas.openxmlformats.org/officeDocument/2006/relationships/hyperlink" Target="https://api.worldbank.org/v2/country/IDN/indicator/NY.GDP.MKTP.KD.ZG?format=json" TargetMode="External"/><Relationship Id="rId15" Type="http://schemas.openxmlformats.org/officeDocument/2006/relationships/hyperlink" Target="https://api.worldbank.org/v2/country/IDN/indicator/SH.XPD.CHEX.GD.ZS?format=json" TargetMode="External"/><Relationship Id="rId16" Type="http://schemas.openxmlformats.org/officeDocument/2006/relationships/hyperlink" Target="https://api.worldbank.org/v2/country/IDN/indicator/SH.XPD.OOPC.CH.ZS?format=json" TargetMode="External"/><Relationship Id="rId17" Type="http://schemas.openxmlformats.org/officeDocument/2006/relationships/hyperlink" Target="https://api.worldbank.org/v2/country/IDN;MYS;THA;VNM;PHL;SGP;OED;WLD/indicator/SH.MED.PHYS.ZS?format=json&amp;per_page=100&amp;date=2021:2023" TargetMode="External"/><Relationship Id="rId18" Type="http://schemas.openxmlformats.org/officeDocument/2006/relationships/hyperlink" Target="https://api.worldbank.org/v2/country/IDN/indicator/SH.MED.BEDS.ZS?format=json" TargetMode="External"/><Relationship Id="rId19" Type="http://schemas.openxmlformats.org/officeDocument/2006/relationships/hyperlink" Target="https://databoks.katadata.co.id/en/consumer-services/statistics/69265660c28ff/most-general-hospitals-in-indonesia-are-privately-owned-2020-2024" TargetMode="External"/><Relationship Id="rId20" Type="http://schemas.openxmlformats.org/officeDocument/2006/relationships/hyperlink" Target="https://www.bbc.com/news/world-asia-pacific-14921238" TargetMode="External"/><Relationship Id="rId21" Type="http://schemas.openxmlformats.org/officeDocument/2006/relationships/hyperlink" Target="https://indonesiabusinesspost.com/2964/Politics/cyber-and-espionage" TargetMode="External"/><Relationship Id="rId22" Type="http://schemas.openxmlformats.org/officeDocument/2006/relationships/hyperlink" Target="https://api.worldbank.org/v2/country/IDN/indicator/SP.URB.TOTL.IN.ZS?format=json" TargetMode="External"/><Relationship Id="rId23" Type="http://schemas.openxmlformats.org/officeDocument/2006/relationships/hyperlink" Target="https://api.worldbank.org/v2/country/IDN/indicator/SP.POP.65UP.TO.ZS?format=json" TargetMode="External"/><Relationship Id="rId24" Type="http://schemas.openxmlformats.org/officeDocument/2006/relationships/hyperlink" Target="https://api.worldbank.org/v2/country/IDN/indicator/SP.DYN.TFRT.IN?format=json" TargetMode="External"/><Relationship Id="rId25" Type="http://schemas.openxmlformats.org/officeDocument/2006/relationships/hyperlink" Target="https://api.worldbank.org/v2/country/IDN/indicator/SP.DYN.LE00.IN?format=json" TargetMode="External"/><Relationship Id="rId26" Type="http://schemas.openxmlformats.org/officeDocument/2006/relationships/hyperlink" Target="https://www.worldbank.org/en/news/press-release/2026/06/13/indonesia-s-growth-remains-resilient-but-productivity-reforms-are-key-to-creating" TargetMode="External"/><Relationship Id="rId27" Type="http://schemas.openxmlformats.org/officeDocument/2006/relationships/hyperlink" Target="https://api.worldbank.org/v2/country/IDN/indicator/NY.GDP.MKTP.PP.CD?format=json" TargetMode="External"/><Relationship Id="rId28" Type="http://schemas.openxmlformats.org/officeDocument/2006/relationships/hyperlink" Target="https://www.worldbank.org/en/results/2026/06/17/expanding-health-service-coverage-quality-and-equity-at-scale-in-indonesia" TargetMode="External"/><Relationship Id="rId29" Type="http://schemas.openxmlformats.org/officeDocument/2006/relationships/hyperlink" Target="https://api.worldbank.org/v2/country/IDN/indicator/SH.TBS.INCD?format=json" TargetMode="External"/><Relationship Id="rId30" Type="http://schemas.openxmlformats.org/officeDocument/2006/relationships/hyperlink" Target="https://thejakartapost.com/indonesia/2026/06/11/bpjs-kesehatan-warns-it-may-fail-to-pay-claims-next-year-as-deficits-persist" TargetMode="External"/><Relationship Id="rId31" Type="http://schemas.openxmlformats.org/officeDocument/2006/relationships/hyperlink" Target="https://wartaekonomi.co.id/read598290/cakupan-jkn-tembus-98-penduduk-indonesia-bpjs-catat-peserta-capai-2827-juta-jiwa" TargetMode="External"/><Relationship Id="rId32" Type="http://schemas.openxmlformats.org/officeDocument/2006/relationships/hyperlink" Target="https://jatim.antaranews.com/amp/berita/958945/indonesia-to-fast-track-70-thousand-specialist-doctors-target" TargetMode="External"/><Relationship Id="rId33" Type="http://schemas.openxmlformats.org/officeDocument/2006/relationships/hyperlink" Target="https://en.antaranews.com/news/402982/indonesia-develops-hospital-based-training-to-fix-specialist-shortage" TargetMode="External"/><Relationship Id="rId34" Type="http://schemas.openxmlformats.org/officeDocument/2006/relationships/hyperlink" Target="https://investortrust.id/market/77152/mayapada-healthcare-invests-rp-1-trillion-to-build-international-hospital-in-batam" TargetMode="External"/><Relationship Id="rId35" Type="http://schemas.openxmlformats.org/officeDocument/2006/relationships/hyperlink" Target="https://api.worldbank.org/v2/country/IDN/indicator/SH.XPD.GHED.CH.ZS?format=json" TargetMode="External"/><Relationship Id="rId36" Type="http://schemas.openxmlformats.org/officeDocument/2006/relationships/image" Target="media/image2.png"/><Relationship Id="rId37" Type="http://schemas.openxmlformats.org/officeDocument/2006/relationships/image" Target="media/image3.png"/><Relationship Id="rId38" Type="http://schemas.openxmlformats.org/officeDocument/2006/relationships/hyperlink" Target="https://investasi.kontan.co.id/news/intip-rekomendasi-saham-dan-prospek-emiten-rumah-sakit-di-2026" TargetMode="External"/><Relationship Id="rId39" Type="http://schemas.openxmlformats.org/officeDocument/2006/relationships/hyperlink" Target="https://theedgemalaysia.com/node/791491" TargetMode="External"/><Relationship Id="rId40" Type="http://schemas.openxmlformats.org/officeDocument/2006/relationships/hyperlink" Target="https://icongroup.global/en/news/2026-03-26/icon-cancer-centre-at-bali-international-hospital-marks-regional-first-with-advanced-radiotherapy-cancer-treatments/" TargetMode="External"/><Relationship Id="rId41" Type="http://schemas.openxmlformats.org/officeDocument/2006/relationships/hyperlink" Target="https://bali.com/news/press-releases/bali-international-hospital-hosts-meet-greet-with-global-medical-partners/" TargetMode="External"/><Relationship Id="rId42" Type="http://schemas.openxmlformats.org/officeDocument/2006/relationships/image" Target="media/image4.png"/><Relationship Id="rId43" Type="http://schemas.openxmlformats.org/officeDocument/2006/relationships/image" Target="media/image5.png"/><Relationship Id="rId44" Type="http://schemas.openxmlformats.org/officeDocument/2006/relationships/hyperlink" Target="https://katadata.co.id/finansial/keuangan/6a462f6ee51e3/defisit-bpjs-kesehatan-bengkak-124-di-2025-tembus-rp-17-1-triliun-ada-apa" TargetMode="External"/><Relationship Id="rId45" Type="http://schemas.openxmlformats.org/officeDocument/2006/relationships/hyperlink" Target="https://api.worldbank.org/v2/country/IDN;MYS;THA;VNM;PHL;SGP;OED;WLD/indicator/SH.XPD.CHEX.GD.ZS?format=json&amp;per_page=100&amp;date=2021:2023" TargetMode="External"/><Relationship Id="rId46" Type="http://schemas.openxmlformats.org/officeDocument/2006/relationships/hyperlink" Target="https://kr-asia.com/indonesia-makes-billion-dollar-health-care-bet-to-keep-rich-patients-at-home" TargetMode="External"/><Relationship Id="rId47" Type="http://schemas.openxmlformats.org/officeDocument/2006/relationships/hyperlink" Target="https://kesprimkom.kemkes.go.id/konten/178/133/0/kemenkes-perkuat-tindak-lanjut-cek-kesehatan-gratis-usai-tembus-73-8-juta" TargetMode="External"/><Relationship Id="rId48" Type="http://schemas.openxmlformats.org/officeDocument/2006/relationships/hyperlink" Target="https://databoks.katadata.co.id/en/economics-macro/statistics/6a7f005c873f5/health-budget-rises-to-idr-2449-trillion-in-2027-draft-state-budget" TargetMode="External"/><Relationship Id="rId49" Type="http://schemas.openxmlformats.org/officeDocument/2006/relationships/header" Target="header2.xml"/><Relationship Id="rId50" Type="http://schemas.openxmlformats.org/officeDocument/2006/relationships/header" Target="header3.xml"/><Relationship Id="rId51" Type="http://schemas.openxmlformats.org/officeDocument/2006/relationships/footer" Target="footer2.xml"/><Relationship Id="rId5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91F2C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D91F2C"/>
      </a:hlink>
      <a:folHlink>
        <a:srgbClr val="D91F2C"/>
      </a:folHlink>
    </a:clrScheme>
    <a:fontScheme name="Office">
      <a:majorFont>
        <a:latin typeface="Arial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Indonesia Executive summary</dc:title>
  <dc:subject/>
  <dc:creator>Cedars-Sinai International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