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20" w:lineRule="exact"/>
        <w:ind w:left="0" w:firstLine="0" w:right="0"/>
        <w:jc w:val="left"/>
      </w:pPr>
      <w:r>
        <w:rPr>
          <w:rFonts w:ascii="Arial" w:hAnsi="Arial" w:eastAsia="Arial" w:cs="Arial"/>
          <w:color w:val="DC1E34"/>
          <w:sz w:val="18"/>
          <w:szCs w:val="18"/>
          <w:b w:val="1"/>
        </w:rPr>
        <w:t>COUNTRY PROFILE AND MARKET INTELLIGENCE</w:t>
      </w:r>
    </w:p>
    <w:p>
      <w:pPr>
        <w:pStyle w:val="Title"/>
        <w:widowControl/>
        <w:spacing w:before="0" w:after="80" w:line="700" w:lineRule="exact"/>
        <w:ind w:left="0" w:firstLine="0" w:right="0"/>
        <w:jc w:val="left"/>
      </w:pPr>
      <w:r>
        <w:rPr>
          <w:rFonts w:ascii="Arial" w:hAnsi="Arial" w:eastAsia="Arial" w:cs="Arial"/>
          <w:color w:val="DC1E34"/>
          <w:sz w:val="60"/>
          <w:szCs w:val="60"/>
          <w:b w:val="1"/>
        </w:rPr>
        <w:t>Singapore</w:t>
      </w:r>
    </w:p>
    <w:p>
      <w:pPr>
        <w:widowControl/>
        <w:spacing w:before="0" w:after="300" w:line="340" w:lineRule="exact"/>
        <w:ind w:left="0" w:firstLine="0" w:right="0"/>
        <w:jc w:val="left"/>
      </w:pPr>
      <w:r>
        <w:rPr>
          <w:rFonts w:ascii="Arial" w:hAnsi="Arial" w:eastAsia="Arial" w:cs="Arial"/>
          <w:color w:val="242424"/>
          <w:sz w:val="26"/>
          <w:szCs w:val="26"/>
        </w:rPr>
        <w:t>Country profile</w:t>
      </w:r>
    </w:p>
    <w:p>
      <w:pPr>
        <w:keepNext/>
        <w:spacing w:after="120" w:before="60" w:line="240" w:lineRule="auto"/>
        <w:ind w:left="0" w:firstLine="0" w:right="0"/>
      </w:pPr>
      <w:r>
        <w:drawing>
          <wp:inline xmlns:a="http://schemas.openxmlformats.org/drawingml/2006/main" xmlns:pic="http://schemas.openxmlformats.org/drawingml/2006/picture" distL="0" distR="0" distT="0" distB="0">
            <wp:extent cx="6400800" cy="3598536"/>
            <wp:effectExtent l="0" t="0" r="0" b="0"/>
            <wp:docPr id="1" name="Picture 1"/>
            <wp:cNvGraphicFramePr>
              <a:graphicFrameLocks noChangeAspect="1"/>
            </wp:cNvGraphicFramePr>
            <a:graphic>
              <a:graphicData uri="http://schemas.openxmlformats.org/drawingml/2006/picture">
                <pic:pic>
                  <pic:nvPicPr>
                    <pic:cNvPr id="0" name="Singapore.jpg"/>
                    <pic:cNvPicPr/>
                  </pic:nvPicPr>
                  <pic:blipFill>
                    <a:blip r:embed="rId15"/>
                    <a:stretch>
                      <a:fillRect/>
                    </a:stretch>
                  </pic:blipFill>
                  <pic:spPr>
                    <a:xfrm>
                      <a:off x="0" y="0"/>
                      <a:ext cx="6400800" cy="3598536"/>
                    </a:xfrm>
                    <a:prstGeom prst="rect"/>
                  </pic:spPr>
                </pic:pic>
              </a:graphicData>
            </a:graphic>
          </wp:inline>
        </w:drawing>
      </w:r>
    </w:p>
    <w:p>
      <w:pPr>
        <w:keepLines/>
        <w:widowControl/>
        <w:spacing w:before="0" w:after="200" w:line="228" w:lineRule="exact"/>
        <w:ind w:left="0" w:firstLine="0" w:right="0"/>
        <w:jc w:val="right"/>
      </w:pPr>
      <w:r>
        <w:rPr>
          <w:rFonts w:ascii="Arial" w:hAnsi="Arial" w:eastAsia="Arial" w:cs="Arial"/>
          <w:color w:val="616161"/>
          <w:sz w:val="18"/>
          <w:szCs w:val="18"/>
        </w:rPr>
        <w:t>AI-generated depiction of Marina Bay Sands and the ArtScience Museum; not a photograph of the site.</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Contents</w:t>
      </w:r>
    </w:p>
    <w:p>
      <w:pPr>
        <w:widowControl/>
        <w:tabs>
          <w:tab w:pos="10080" w:val="right" w:leader="dot"/>
        </w:tabs>
        <w:spacing w:before="0" w:after="60" w:line="280" w:lineRule="exact"/>
        <w:ind w:left="0" w:firstLine="0" w:right="0"/>
        <w:jc w:val="left"/>
      </w:pPr>
      <w:hyperlink w:anchor="overview">
        <w:r>
          <w:rPr>
            <w:rFonts w:ascii="Arial" w:hAnsi="Arial" w:eastAsia="Arial" w:cs="Arial"/>
            <w:color w:val="242424"/>
            <w:sz w:val="21"/>
            <w:szCs w:val="21"/>
          </w:rPr>
          <w:t xml:space="preserve">Country overview and government</w:t>
        </w:r>
      </w:hyperlink>
      <w:r>
        <w:rPr>
          <w:rFonts w:ascii="Arial" w:hAnsi="Arial" w:eastAsia="Arial" w:cs="Arial"/>
          <w:color w:val="242424"/>
          <w:sz w:val="21"/>
          <w:szCs w:val="21"/>
        </w:rPr>
        <w:tab/>
      </w:r>
      <w:r>
        <w:fldChar w:fldCharType="begin"/>
      </w:r>
      <w:r>
        <w:instrText> PAGEREF overview \h </w:instrText>
      </w:r>
      <w:r>
        <w:fldChar w:fldCharType="separate"/>
      </w:r>
      <w:r>
        <w:t>2</w:t>
      </w:r>
      <w:r>
        <w:fldChar w:fldCharType="end"/>
      </w:r>
    </w:p>
    <w:p>
      <w:pPr>
        <w:widowControl/>
        <w:tabs>
          <w:tab w:pos="10080" w:val="right" w:leader="dot"/>
        </w:tabs>
        <w:spacing w:before="0" w:after="60" w:line="280" w:lineRule="exact"/>
        <w:ind w:left="0" w:firstLine="0" w:right="0"/>
        <w:jc w:val="left"/>
      </w:pPr>
      <w:hyperlink w:anchor="economy">
        <w:r>
          <w:rPr>
            <w:rFonts w:ascii="Arial" w:hAnsi="Arial" w:eastAsia="Arial" w:cs="Arial"/>
            <w:color w:val="242424"/>
            <w:sz w:val="21"/>
            <w:szCs w:val="21"/>
          </w:rPr>
          <w:t xml:space="preserve">Economy and healthcare outlook</w:t>
        </w:r>
      </w:hyperlink>
      <w:r>
        <w:rPr>
          <w:rFonts w:ascii="Arial" w:hAnsi="Arial" w:eastAsia="Arial" w:cs="Arial"/>
          <w:color w:val="242424"/>
          <w:sz w:val="21"/>
          <w:szCs w:val="21"/>
        </w:rPr>
        <w:tab/>
      </w:r>
      <w:r>
        <w:fldChar w:fldCharType="begin"/>
      </w:r>
      <w:r>
        <w:instrText> PAGEREF economy \h </w:instrText>
      </w:r>
      <w:r>
        <w:fldChar w:fldCharType="separate"/>
      </w:r>
      <w:r>
        <w:t>2</w:t>
      </w:r>
      <w:r>
        <w:fldChar w:fldCharType="end"/>
      </w:r>
    </w:p>
    <w:p>
      <w:pPr>
        <w:widowControl/>
        <w:tabs>
          <w:tab w:pos="10080" w:val="right" w:leader="dot"/>
        </w:tabs>
        <w:spacing w:before="0" w:after="60" w:line="280" w:lineRule="exact"/>
        <w:ind w:left="0" w:firstLine="0" w:right="0"/>
        <w:jc w:val="left"/>
      </w:pPr>
      <w:hyperlink w:anchor="disease">
        <w:r>
          <w:rPr>
            <w:rFonts w:ascii="Arial" w:hAnsi="Arial" w:eastAsia="Arial" w:cs="Arial"/>
            <w:color w:val="242424"/>
            <w:sz w:val="21"/>
            <w:szCs w:val="21"/>
          </w:rPr>
          <w:t xml:space="preserve">Disease prevalence</w:t>
        </w:r>
      </w:hyperlink>
      <w:r>
        <w:rPr>
          <w:rFonts w:ascii="Arial" w:hAnsi="Arial" w:eastAsia="Arial" w:cs="Arial"/>
          <w:color w:val="242424"/>
          <w:sz w:val="21"/>
          <w:szCs w:val="21"/>
        </w:rPr>
        <w:tab/>
      </w:r>
      <w:r>
        <w:fldChar w:fldCharType="begin"/>
      </w:r>
      <w:r>
        <w:instrText> PAGEREF disease \h </w:instrText>
      </w:r>
      <w:r>
        <w:fldChar w:fldCharType="separate"/>
      </w:r>
      <w:r>
        <w:t>3</w:t>
      </w:r>
      <w:r>
        <w:fldChar w:fldCharType="end"/>
      </w:r>
    </w:p>
    <w:p>
      <w:pPr>
        <w:widowControl/>
        <w:tabs>
          <w:tab w:pos="10080" w:val="right" w:leader="dot"/>
        </w:tabs>
        <w:spacing w:before="0" w:after="60" w:line="280" w:lineRule="exact"/>
        <w:ind w:left="0" w:firstLine="0" w:right="0"/>
        <w:jc w:val="left"/>
      </w:pPr>
      <w:hyperlink w:anchor="delivery">
        <w:r>
          <w:rPr>
            <w:rFonts w:ascii="Arial" w:hAnsi="Arial" w:eastAsia="Arial" w:cs="Arial"/>
            <w:color w:val="242424"/>
            <w:sz w:val="21"/>
            <w:szCs w:val="21"/>
          </w:rPr>
          <w:t xml:space="preserve">Healthcare delivery</w:t>
        </w:r>
      </w:hyperlink>
      <w:r>
        <w:rPr>
          <w:rFonts w:ascii="Arial" w:hAnsi="Arial" w:eastAsia="Arial" w:cs="Arial"/>
          <w:color w:val="242424"/>
          <w:sz w:val="21"/>
          <w:szCs w:val="21"/>
        </w:rPr>
        <w:tab/>
      </w:r>
      <w:r>
        <w:fldChar w:fldCharType="begin"/>
      </w:r>
      <w:r>
        <w:instrText> PAGEREF delivery \h </w:instrText>
      </w:r>
      <w:r>
        <w:fldChar w:fldCharType="separate"/>
      </w:r>
      <w:r>
        <w:t>3</w:t>
      </w:r>
      <w:r>
        <w:fldChar w:fldCharType="end"/>
      </w:r>
    </w:p>
    <w:p>
      <w:pPr>
        <w:widowControl/>
        <w:tabs>
          <w:tab w:pos="10080" w:val="right" w:leader="dot"/>
        </w:tabs>
        <w:spacing w:before="0" w:after="60" w:line="280" w:lineRule="exact"/>
        <w:ind w:left="0" w:firstLine="0" w:right="0"/>
        <w:jc w:val="left"/>
      </w:pPr>
      <w:hyperlink w:anchor="financing">
        <w:r>
          <w:rPr>
            <w:rFonts w:ascii="Arial" w:hAnsi="Arial" w:eastAsia="Arial" w:cs="Arial"/>
            <w:color w:val="242424"/>
            <w:sz w:val="21"/>
            <w:szCs w:val="21"/>
          </w:rPr>
          <w:t xml:space="preserve">Healthcare financing</w:t>
        </w:r>
      </w:hyperlink>
      <w:r>
        <w:rPr>
          <w:rFonts w:ascii="Arial" w:hAnsi="Arial" w:eastAsia="Arial" w:cs="Arial"/>
          <w:color w:val="242424"/>
          <w:sz w:val="21"/>
          <w:szCs w:val="21"/>
        </w:rPr>
        <w:tab/>
      </w:r>
      <w:r>
        <w:fldChar w:fldCharType="begin"/>
      </w:r>
      <w:r>
        <w:instrText> PAGEREF financing \h </w:instrText>
      </w:r>
      <w:r>
        <w:fldChar w:fldCharType="separate"/>
      </w:r>
      <w:r>
        <w:t>4</w:t>
      </w:r>
      <w:r>
        <w:fldChar w:fldCharType="end"/>
      </w:r>
    </w:p>
    <w:p>
      <w:pPr>
        <w:widowControl/>
        <w:tabs>
          <w:tab w:pos="10080" w:val="right" w:leader="dot"/>
        </w:tabs>
        <w:spacing w:before="0" w:after="60" w:line="280" w:lineRule="exact"/>
        <w:ind w:left="0" w:firstLine="0" w:right="0"/>
        <w:jc w:val="left"/>
      </w:pPr>
      <w:hyperlink w:anchor="workforce">
        <w:r>
          <w:rPr>
            <w:rFonts w:ascii="Arial" w:hAnsi="Arial" w:eastAsia="Arial" w:cs="Arial"/>
            <w:color w:val="242424"/>
            <w:sz w:val="21"/>
            <w:szCs w:val="21"/>
          </w:rPr>
          <w:t xml:space="preserve">Workforce and education</w:t>
        </w:r>
      </w:hyperlink>
      <w:r>
        <w:rPr>
          <w:rFonts w:ascii="Arial" w:hAnsi="Arial" w:eastAsia="Arial" w:cs="Arial"/>
          <w:color w:val="242424"/>
          <w:sz w:val="21"/>
          <w:szCs w:val="21"/>
        </w:rPr>
        <w:tab/>
      </w:r>
      <w:r>
        <w:fldChar w:fldCharType="begin"/>
      </w:r>
      <w:r>
        <w:instrText> PAGEREF workforce \h </w:instrText>
      </w:r>
      <w:r>
        <w:fldChar w:fldCharType="separate"/>
      </w:r>
      <w:r>
        <w:t>4</w:t>
      </w:r>
      <w:r>
        <w:fldChar w:fldCharType="end"/>
      </w:r>
    </w:p>
    <w:p>
      <w:pPr>
        <w:widowControl/>
        <w:tabs>
          <w:tab w:pos="10080" w:val="right" w:leader="dot"/>
        </w:tabs>
        <w:spacing w:before="0" w:after="60" w:line="280" w:lineRule="exact"/>
        <w:ind w:left="0" w:firstLine="0" w:right="0"/>
        <w:jc w:val="left"/>
      </w:pPr>
      <w:hyperlink w:anchor="market">
        <w:r>
          <w:rPr>
            <w:rFonts w:ascii="Arial" w:hAnsi="Arial" w:eastAsia="Arial" w:cs="Arial"/>
            <w:color w:val="242424"/>
            <w:sz w:val="21"/>
            <w:szCs w:val="21"/>
          </w:rPr>
          <w:t xml:space="preserve">Competitive landscape</w:t>
        </w:r>
      </w:hyperlink>
      <w:r>
        <w:rPr>
          <w:rFonts w:ascii="Arial" w:hAnsi="Arial" w:eastAsia="Arial" w:cs="Arial"/>
          <w:color w:val="242424"/>
          <w:sz w:val="21"/>
          <w:szCs w:val="21"/>
        </w:rPr>
        <w:tab/>
      </w:r>
      <w:r>
        <w:fldChar w:fldCharType="begin"/>
      </w:r>
      <w:r>
        <w:instrText> PAGEREF market \h </w:instrText>
      </w:r>
      <w:r>
        <w:fldChar w:fldCharType="separate"/>
      </w:r>
      <w:r>
        <w:t>5</w:t>
      </w:r>
      <w:r>
        <w:fldChar w:fldCharType="end"/>
      </w:r>
    </w:p>
    <w:p>
      <w:pPr>
        <w:widowControl/>
        <w:tabs>
          <w:tab w:pos="10080" w:val="right" w:leader="dot"/>
        </w:tabs>
        <w:spacing w:before="0" w:after="60" w:line="280" w:lineRule="exact"/>
        <w:ind w:left="0" w:firstLine="0" w:right="0"/>
        <w:jc w:val="left"/>
      </w:pPr>
      <w:hyperlink w:anchor="directory">
        <w:r>
          <w:rPr>
            <w:rFonts w:ascii="Arial" w:hAnsi="Arial" w:eastAsia="Arial" w:cs="Arial"/>
            <w:color w:val="242424"/>
            <w:sz w:val="21"/>
            <w:szCs w:val="21"/>
          </w:rPr>
          <w:t xml:space="preserve">Institution directory</w:t>
        </w:r>
      </w:hyperlink>
      <w:r>
        <w:rPr>
          <w:rFonts w:ascii="Arial" w:hAnsi="Arial" w:eastAsia="Arial" w:cs="Arial"/>
          <w:color w:val="242424"/>
          <w:sz w:val="21"/>
          <w:szCs w:val="21"/>
        </w:rPr>
        <w:tab/>
      </w:r>
      <w:r>
        <w:fldChar w:fldCharType="begin"/>
      </w:r>
      <w:r>
        <w:instrText> PAGEREF directory \h </w:instrText>
      </w:r>
      <w:r>
        <w:fldChar w:fldCharType="separate"/>
      </w:r>
      <w:r>
        <w:t>6</w:t>
      </w:r>
      <w:r>
        <w:fldChar w:fldCharType="end"/>
      </w:r>
    </w:p>
    <w:p>
      <w:pPr>
        <w:widowControl/>
        <w:tabs>
          <w:tab w:pos="10080" w:val="right" w:leader="dot"/>
        </w:tabs>
        <w:spacing w:before="0" w:after="60" w:line="280" w:lineRule="exact"/>
        <w:ind w:left="0" w:firstLine="0" w:right="0"/>
        <w:jc w:val="left"/>
      </w:pPr>
      <w:hyperlink w:anchor="recent">
        <w:r>
          <w:rPr>
            <w:rFonts w:ascii="Arial" w:hAnsi="Arial" w:eastAsia="Arial" w:cs="Arial"/>
            <w:color w:val="242424"/>
            <w:sz w:val="21"/>
            <w:szCs w:val="21"/>
          </w:rPr>
          <w:t xml:space="preserve">Recent developments</w:t>
        </w:r>
      </w:hyperlink>
      <w:r>
        <w:rPr>
          <w:rFonts w:ascii="Arial" w:hAnsi="Arial" w:eastAsia="Arial" w:cs="Arial"/>
          <w:color w:val="242424"/>
          <w:sz w:val="21"/>
          <w:szCs w:val="21"/>
        </w:rPr>
        <w:tab/>
      </w:r>
      <w:r>
        <w:fldChar w:fldCharType="begin"/>
      </w:r>
      <w:r>
        <w:instrText> PAGEREF recent \h </w:instrText>
      </w:r>
      <w:r>
        <w:fldChar w:fldCharType="separate"/>
      </w:r>
      <w:r>
        <w:t>8</w:t>
      </w:r>
      <w:r>
        <w:fldChar w:fldCharType="end"/>
      </w:r>
    </w:p>
    <w:p>
      <w:pPr>
        <w:widowControl/>
        <w:tabs>
          <w:tab w:pos="10080" w:val="right" w:leader="dot"/>
        </w:tabs>
        <w:spacing w:before="0" w:after="60" w:line="280" w:lineRule="exact"/>
        <w:ind w:left="0" w:firstLine="0" w:right="0"/>
        <w:jc w:val="left"/>
      </w:pPr>
      <w:hyperlink w:anchor="assessment">
        <w:r>
          <w:rPr>
            <w:rFonts w:ascii="Arial" w:hAnsi="Arial" w:eastAsia="Arial" w:cs="Arial"/>
            <w:color w:val="242424"/>
            <w:sz w:val="21"/>
            <w:szCs w:val="21"/>
          </w:rPr>
          <w:t xml:space="preserve">CSI assessment</w:t>
        </w:r>
      </w:hyperlink>
      <w:r>
        <w:rPr>
          <w:rFonts w:ascii="Arial" w:hAnsi="Arial" w:eastAsia="Arial" w:cs="Arial"/>
          <w:color w:val="242424"/>
          <w:sz w:val="21"/>
          <w:szCs w:val="21"/>
        </w:rPr>
        <w:tab/>
      </w:r>
      <w:r>
        <w:fldChar w:fldCharType="begin"/>
      </w:r>
      <w:r>
        <w:instrText> PAGEREF assessment \h </w:instrText>
      </w:r>
      <w:r>
        <w:fldChar w:fldCharType="separate"/>
      </w:r>
      <w:r>
        <w:t>8</w:t>
      </w:r>
      <w:r>
        <w:fldChar w:fldCharType="end"/>
      </w:r>
    </w:p>
    <w:p>
      <w:pPr>
        <w:keepLines/>
        <w:widowControl/>
        <w:spacing w:before="0" w:after="160" w:line="228" w:lineRule="exact"/>
        <w:ind w:left="0" w:firstLine="0" w:right="0"/>
        <w:jc w:val="left"/>
      </w:pPr>
      <w:r>
        <w:rPr>
          <w:rFonts w:ascii="Arial" w:hAnsi="Arial" w:eastAsia="Arial" w:cs="Arial"/>
          <w:color w:val="616161"/>
          <w:sz w:val="18"/>
          <w:szCs w:val="18"/>
        </w:rPr>
        <w:t>Prepared 7 October 2026. Analyst review draft. Numbered citations refer to Singapore_Profile_DRAFT_SOURCES.docx.</w:t>
      </w:r>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bookmarkStart w:id="987" w:name="overview"/>
      <w:r>
        <w:rPr>
          <w:rFonts w:ascii="Arial" w:hAnsi="Arial" w:eastAsia="Arial" w:cs="Arial"/>
          <w:color w:val="DC1E34"/>
          <w:sz w:val="42"/>
          <w:szCs w:val="42"/>
          <w:b w:val="1"/>
        </w:rPr>
        <w:t>Country overview and government</w:t>
      </w:r>
      <w:bookmarkEnd w:id="987"/>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Capital</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Singapore (city-state)</w:t>
            </w:r>
            <w:hyperlink r:id="rId16">
              <w:r>
                <w:rPr>
                  <w:rFonts w:ascii="Arial" w:hAnsi="Arial" w:eastAsia="Arial" w:cs="Arial"/>
                  <w:vertAlign w:val="superscript"/>
                  <w:color w:val="DC1E34"/>
                  <w:sz w:val="16"/>
                  <w:szCs w:val="16"/>
                </w:rPr>
                <w:t xml:space="preserve">1</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Official languages</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English, Malay, Mandarin and Tamil</w:t>
            </w:r>
            <w:hyperlink r:id="rId17">
              <w:r>
                <w:rPr>
                  <w:rFonts w:ascii="Arial" w:hAnsi="Arial" w:eastAsia="Arial" w:cs="Arial"/>
                  <w:vertAlign w:val="superscript"/>
                  <w:color w:val="DC1E34"/>
                  <w:sz w:val="16"/>
                  <w:szCs w:val="16"/>
                </w:rPr>
                <w:t xml:space="preserve">2</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Population</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6.2085 million total; 4.2315 million residents (June 2026)</w:t>
            </w:r>
            <w:hyperlink r:id="rId18">
              <w:r>
                <w:rPr>
                  <w:rFonts w:ascii="Arial" w:hAnsi="Arial" w:eastAsia="Arial" w:cs="Arial"/>
                  <w:vertAlign w:val="superscript"/>
                  <w:color w:val="DC1E34"/>
                  <w:sz w:val="16"/>
                  <w:szCs w:val="16"/>
                </w:rPr>
                <w:t xml:space="preserve">3</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Area</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745.1 km² (June 2026)</w:t>
            </w:r>
            <w:hyperlink r:id="rId19">
              <w:r>
                <w:rPr>
                  <w:rFonts w:ascii="Arial" w:hAnsi="Arial" w:eastAsia="Arial" w:cs="Arial"/>
                  <w:vertAlign w:val="superscript"/>
                  <w:color w:val="DC1E34"/>
                  <w:sz w:val="16"/>
                  <w:szCs w:val="16"/>
                </w:rPr>
                <w:t xml:space="preserve">4</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GDP (PPP) total</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About Int$998 billion (2025, calculated)</w:t>
            </w:r>
            <w:hyperlink r:id="rId18">
              <w:r>
                <w:rPr>
                  <w:rFonts w:ascii="Arial" w:hAnsi="Arial" w:eastAsia="Arial" w:cs="Arial"/>
                  <w:vertAlign w:val="superscript"/>
                  <w:color w:val="DC1E34"/>
                  <w:sz w:val="16"/>
                  <w:szCs w:val="16"/>
                </w:rPr>
                <w:t xml:space="preserve">3,</w:t>
              </w:r>
            </w:hyperlink>
            <w:hyperlink r:id="rId20">
              <w:r>
                <w:rPr>
                  <w:rFonts w:ascii="Arial" w:hAnsi="Arial" w:eastAsia="Arial" w:cs="Arial"/>
                  <w:vertAlign w:val="superscript"/>
                  <w:color w:val="DC1E34"/>
                  <w:sz w:val="16"/>
                  <w:szCs w:val="16"/>
                </w:rPr>
                <w:t xml:space="preserve">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GDP (PPP) per capita</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Int$163,354 (2025)</w:t>
            </w:r>
            <w:hyperlink r:id="rId20">
              <w:r>
                <w:rPr>
                  <w:rFonts w:ascii="Arial" w:hAnsi="Arial" w:eastAsia="Arial" w:cs="Arial"/>
                  <w:vertAlign w:val="superscript"/>
                  <w:color w:val="DC1E34"/>
                  <w:sz w:val="16"/>
                  <w:szCs w:val="16"/>
                </w:rPr>
                <w:t xml:space="preserve">5</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Government</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Parliamentary democratic republic</w:t>
            </w:r>
            <w:hyperlink r:id="rId16">
              <w:r>
                <w:rPr>
                  <w:rFonts w:ascii="Arial" w:hAnsi="Arial" w:eastAsia="Arial" w:cs="Arial"/>
                  <w:vertAlign w:val="superscript"/>
                  <w:color w:val="DC1E34"/>
                  <w:sz w:val="16"/>
                  <w:szCs w:val="16"/>
                </w:rPr>
                <w:t xml:space="preserve">1</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Currency</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Singapore dollar (SGD)</w:t>
            </w:r>
            <w:hyperlink r:id="rId21">
              <w:r>
                <w:rPr>
                  <w:rFonts w:ascii="Arial" w:hAnsi="Arial" w:eastAsia="Arial" w:cs="Arial"/>
                  <w:vertAlign w:val="superscript"/>
                  <w:color w:val="DC1E34"/>
                  <w:sz w:val="16"/>
                  <w:szCs w:val="16"/>
                </w:rPr>
                <w:t xml:space="preserve">6</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42424"/>
          <w:sz w:val="22"/>
          <w:szCs w:val="22"/>
        </w:rPr>
        <w:t>Singapore had 6.21 million people in June 2026, including 4.23 million residents, a category comprising citizens and permanent residents.</w:t>
      </w:r>
      <w:hyperlink r:id="rId18">
        <w:r>
          <w:rPr>
            <w:rFonts w:ascii="Arial" w:hAnsi="Arial" w:eastAsia="Arial" w:cs="Arial"/>
            <w:vertAlign w:val="superscript"/>
            <w:color w:val="DC1E34"/>
            <w:sz w:val="16"/>
            <w:szCs w:val="16"/>
          </w:rPr>
          <w:t xml:space="preserve">3</w:t>
        </w:r>
      </w:hyperlink>
      <w:r>
        <w:rPr>
          <w:rFonts w:ascii="Arial" w:hAnsi="Arial" w:eastAsia="Arial" w:cs="Arial"/>
          <w:color w:val="242424"/>
          <w:sz w:val="22"/>
          <w:szCs w:val="22"/>
        </w:rPr>
        <w:t xml:space="preserve"> Residents aged 65 and older accounted for 19.5% of the resident population, while their share among citizens was 21.4%.</w:t>
      </w:r>
      <w:hyperlink r:id="rId18">
        <w:r>
          <w:rPr>
            <w:rFonts w:ascii="Arial" w:hAnsi="Arial" w:eastAsia="Arial" w:cs="Arial"/>
            <w:vertAlign w:val="superscript"/>
            <w:color w:val="DC1E34"/>
            <w:sz w:val="16"/>
            <w:szCs w:val="16"/>
          </w:rPr>
          <w:t xml:space="preserve">3,</w:t>
        </w:r>
      </w:hyperlink>
      <w:hyperlink r:id="rId22">
        <w:r>
          <w:rPr>
            <w:rFonts w:ascii="Arial" w:hAnsi="Arial" w:eastAsia="Arial" w:cs="Arial"/>
            <w:vertAlign w:val="superscript"/>
            <w:color w:val="DC1E34"/>
            <w:sz w:val="16"/>
            <w:szCs w:val="16"/>
          </w:rPr>
          <w:t xml:space="preserve">7</w:t>
        </w:r>
      </w:hyperlink>
      <w:r>
        <w:rPr>
          <w:rFonts w:ascii="Arial" w:hAnsi="Arial" w:eastAsia="Arial" w:cs="Arial"/>
          <w:color w:val="242424"/>
          <w:sz w:val="22"/>
          <w:szCs w:val="22"/>
        </w:rPr>
        <w:t xml:space="preserve"> The resident median age reached 43.6 years, and resident life expectancy at birth was 83.9 years in 2025.</w:t>
      </w:r>
      <w:hyperlink r:id="rId22">
        <w:r>
          <w:rPr>
            <w:rFonts w:ascii="Arial" w:hAnsi="Arial" w:eastAsia="Arial" w:cs="Arial"/>
            <w:vertAlign w:val="superscript"/>
            <w:color w:val="DC1E34"/>
            <w:sz w:val="16"/>
            <w:szCs w:val="16"/>
          </w:rPr>
          <w:t xml:space="preserve">7</w:t>
        </w:r>
      </w:hyperlink>
      <w:r>
        <w:rPr>
          <w:rFonts w:ascii="Arial" w:hAnsi="Arial" w:eastAsia="Arial" w:cs="Arial"/>
          <w:color w:val="242424"/>
          <w:sz w:val="22"/>
          <w:szCs w:val="22"/>
        </w:rPr>
        <w:t xml:space="preserve"> The resident fertility rate fell to 0.87 births per woman in 2025, compared with 0.97 in 2024.</w:t>
      </w:r>
      <w:hyperlink r:id="rId22">
        <w:r>
          <w:rPr>
            <w:rFonts w:ascii="Arial" w:hAnsi="Arial" w:eastAsia="Arial" w:cs="Arial"/>
            <w:vertAlign w:val="superscript"/>
            <w:color w:val="DC1E34"/>
            <w:sz w:val="16"/>
            <w:szCs w:val="16"/>
          </w:rPr>
          <w:t xml:space="preserve">7</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Government</w:t>
      </w:r>
    </w:p>
    <w:p>
      <w:pPr>
        <w:keepLines/>
        <w:widowControl/>
        <w:spacing w:before="0" w:after="140" w:line="288" w:lineRule="exact"/>
        <w:ind w:left="0" w:firstLine="0" w:right="0"/>
        <w:jc w:val="left"/>
      </w:pPr>
      <w:r>
        <w:rPr>
          <w:rFonts w:ascii="Arial" w:hAnsi="Arial" w:eastAsia="Arial" w:cs="Arial"/>
          <w:color w:val="242424"/>
          <w:sz w:val="22"/>
          <w:szCs w:val="22"/>
        </w:rPr>
        <w:t>Singapore is a parliamentary democracy in which Prime Minister Lawrence Wong leads the government and also holds the finance portfolio.</w:t>
      </w:r>
      <w:hyperlink r:id="rId16">
        <w:r>
          <w:rPr>
            <w:rFonts w:ascii="Arial" w:hAnsi="Arial" w:eastAsia="Arial" w:cs="Arial"/>
            <w:vertAlign w:val="superscript"/>
            <w:color w:val="DC1E34"/>
            <w:sz w:val="16"/>
            <w:szCs w:val="16"/>
          </w:rPr>
          <w:t xml:space="preserve">1,</w:t>
        </w:r>
      </w:hyperlink>
      <w:hyperlink r:id="rId23">
        <w:r>
          <w:rPr>
            <w:rFonts w:ascii="Arial" w:hAnsi="Arial" w:eastAsia="Arial" w:cs="Arial"/>
            <w:vertAlign w:val="superscript"/>
            <w:color w:val="DC1E34"/>
            <w:sz w:val="16"/>
            <w:szCs w:val="16"/>
          </w:rPr>
          <w:t xml:space="preserve">8</w:t>
        </w:r>
      </w:hyperlink>
      <w:r>
        <w:rPr>
          <w:rFonts w:ascii="Arial" w:hAnsi="Arial" w:eastAsia="Arial" w:cs="Arial"/>
          <w:color w:val="242424"/>
          <w:sz w:val="22"/>
          <w:szCs w:val="22"/>
        </w:rPr>
        <w:t xml:space="preserve"> President Tharman Shanmugaratnam is the non-partisan head of state.</w:t>
      </w:r>
      <w:hyperlink r:id="rId24">
        <w:r>
          <w:rPr>
            <w:rFonts w:ascii="Arial" w:hAnsi="Arial" w:eastAsia="Arial" w:cs="Arial"/>
            <w:vertAlign w:val="superscript"/>
            <w:color w:val="DC1E34"/>
            <w:sz w:val="16"/>
            <w:szCs w:val="16"/>
          </w:rPr>
          <w:t xml:space="preserve">9</w:t>
        </w:r>
      </w:hyperlink>
      <w:r>
        <w:rPr>
          <w:rFonts w:ascii="Arial" w:hAnsi="Arial" w:eastAsia="Arial" w:cs="Arial"/>
          <w:color w:val="242424"/>
          <w:sz w:val="22"/>
          <w:szCs w:val="22"/>
        </w:rPr>
        <w:t xml:space="preserve"> The elected presidency combines ceremonial and community responsibilities with constitutional safeguards over past reserves and specified public-service appointments, rather than day-to-day management of government.</w:t>
      </w:r>
      <w:hyperlink r:id="rId25">
        <w:r>
          <w:rPr>
            <w:rFonts w:ascii="Arial" w:hAnsi="Arial" w:eastAsia="Arial" w:cs="Arial"/>
            <w:vertAlign w:val="superscript"/>
            <w:color w:val="DC1E34"/>
            <w:sz w:val="16"/>
            <w:szCs w:val="16"/>
          </w:rPr>
          <w:t xml:space="preserve">10</w:t>
        </w:r>
      </w:hyperlink>
      <w:r>
        <w:rPr>
          <w:rFonts w:ascii="Arial" w:hAnsi="Arial" w:eastAsia="Arial" w:cs="Arial"/>
          <w:color w:val="242424"/>
          <w:sz w:val="22"/>
          <w:szCs w:val="22"/>
        </w:rPr>
        <w:t xml:space="preserve"> For healthcare engagement, the Ministry of Health works with three geographically organized public healthcare clusters that provide services and act as regional health managers, linking clinical delivery with population-health responsibilities.</w:t>
      </w:r>
      <w:hyperlink r:id="rId26">
        <w:r>
          <w:rPr>
            <w:rFonts w:ascii="Arial" w:hAnsi="Arial" w:eastAsia="Arial" w:cs="Arial"/>
            <w:vertAlign w:val="superscript"/>
            <w:color w:val="DC1E34"/>
            <w:sz w:val="16"/>
            <w:szCs w:val="16"/>
          </w:rPr>
          <w:t xml:space="preserve">11</w:t>
        </w:r>
      </w:hyperlink>
    </w:p>
    <w:p>
      <w:pPr>
        <w:pStyle w:val="Heading1"/>
        <w:keepNext/>
        <w:keepLines/>
        <w:widowControl/>
        <w:spacing w:before="0" w:after="260" w:line="500" w:lineRule="exact"/>
        <w:ind w:left="0" w:firstLine="0" w:right="0"/>
        <w:jc w:val="left"/>
      </w:pPr>
      <w:bookmarkStart w:id="862" w:name="economy"/>
      <w:r>
        <w:rPr>
          <w:rFonts w:ascii="Arial" w:hAnsi="Arial" w:eastAsia="Arial" w:cs="Arial"/>
          <w:color w:val="DC1E34"/>
          <w:sz w:val="42"/>
          <w:szCs w:val="42"/>
          <w:b w:val="1"/>
        </w:rPr>
        <w:t>Economy and healthcare outlook</w:t>
      </w:r>
      <w:bookmarkEnd w:id="862"/>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Economy</w:t>
      </w:r>
    </w:p>
    <w:p>
      <w:pPr>
        <w:keepLines/>
        <w:widowControl/>
        <w:spacing w:before="0" w:after="140" w:line="288" w:lineRule="exact"/>
        <w:ind w:left="0" w:firstLine="0" w:right="0"/>
        <w:jc w:val="left"/>
      </w:pPr>
      <w:r>
        <w:rPr>
          <w:rFonts w:ascii="Arial" w:hAnsi="Arial" w:eastAsia="Arial" w:cs="Arial"/>
          <w:color w:val="242424"/>
          <w:sz w:val="22"/>
          <w:szCs w:val="22"/>
        </w:rPr>
        <w:t xml:space="preserve">Singapore recorded nominal GDP of S$789.5 billion (US$618 billion) and real GDP growth of 5.0% in 2025, according to the latest national accounts; nominal GDP per capita was S$129,194 (US$101,000).</w:t>
      </w:r>
      <w:hyperlink r:id="rId27">
        <w:r>
          <w:rPr>
            <w:rFonts w:ascii="Arial" w:hAnsi="Arial" w:eastAsia="Arial" w:cs="Arial"/>
            <w:vertAlign w:val="superscript"/>
            <w:color w:val="DC1E34"/>
            <w:sz w:val="16"/>
            <w:szCs w:val="16"/>
          </w:rPr>
          <w:t xml:space="preserve">12</w:t>
        </w:r>
      </w:hyperlink>
      <w:r>
        <w:rPr>
          <w:rFonts w:ascii="Arial" w:hAnsi="Arial" w:eastAsia="Arial" w:cs="Arial"/>
          <w:color w:val="242424"/>
          <w:sz w:val="22"/>
          <w:szCs w:val="22"/>
        </w:rPr>
        <w:t xml:space="preserve"> On August 11, 2026, the government raised its full-year growth forecast to 4.5% to 5.5% after growth of 6.1% in the first half, citing stronger global investment related to artificial intelligence.</w:t>
      </w:r>
      <w:hyperlink r:id="rId28">
        <w:r>
          <w:rPr>
            <w:rFonts w:ascii="Arial" w:hAnsi="Arial" w:eastAsia="Arial" w:cs="Arial"/>
            <w:vertAlign w:val="superscript"/>
            <w:color w:val="DC1E34"/>
            <w:sz w:val="16"/>
            <w:szCs w:val="16"/>
          </w:rPr>
          <w:t xml:space="preserve">13</w:t>
        </w:r>
      </w:hyperlink>
    </w:p>
    <w:p>
      <w:pPr>
        <w:keepLines/>
        <w:widowControl/>
        <w:spacing w:before="0" w:after="140" w:line="288" w:lineRule="exact"/>
        <w:ind w:left="0" w:firstLine="0" w:right="0"/>
        <w:jc w:val="left"/>
      </w:pPr>
      <w:r>
        <w:rPr>
          <w:rFonts w:ascii="Arial" w:hAnsi="Arial" w:eastAsia="Arial" w:cs="Arial"/>
          <w:color w:val="242424"/>
          <w:sz w:val="22"/>
          <w:szCs w:val="22"/>
        </w:rPr>
        <w:t>The Singapore Economy 2030 strategy includes advanced manufacturing, with a stated objective of increasing manufacturing value added by 50% from 2020 to 2030.</w:t>
      </w:r>
      <w:hyperlink r:id="rId29">
        <w:r>
          <w:rPr>
            <w:rFonts w:ascii="Arial" w:hAnsi="Arial" w:eastAsia="Arial" w:cs="Arial"/>
            <w:vertAlign w:val="superscript"/>
            <w:color w:val="DC1E34"/>
            <w:sz w:val="16"/>
            <w:szCs w:val="16"/>
          </w:rPr>
          <w:t xml:space="preserve">14</w:t>
        </w:r>
      </w:hyperlink>
      <w:r>
        <w:rPr>
          <w:rFonts w:ascii="Arial" w:hAnsi="Arial" w:eastAsia="Arial" w:cs="Arial"/>
          <w:color w:val="242424"/>
          <w:sz w:val="22"/>
          <w:szCs w:val="22"/>
        </w:rPr>
        <w:t xml:space="preserve"> The strategy emphasizes advanced manufacturing investment, skills development and adoption of new technologies, alongside services and business connectivity.</w:t>
      </w:r>
      <w:hyperlink r:id="rId29">
        <w:r>
          <w:rPr>
            <w:rFonts w:ascii="Arial" w:hAnsi="Arial" w:eastAsia="Arial" w:cs="Arial"/>
            <w:vertAlign w:val="superscript"/>
            <w:color w:val="DC1E34"/>
            <w:sz w:val="16"/>
            <w:szCs w:val="16"/>
          </w:rPr>
          <w:t xml:space="preserve">14</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Healthcare outlook</w:t>
      </w:r>
    </w:p>
    <w:p>
      <w:pPr>
        <w:keepLines/>
        <w:widowControl/>
        <w:spacing w:before="0" w:after="140" w:line="288" w:lineRule="exact"/>
        <w:ind w:left="0" w:firstLine="0" w:right="0"/>
        <w:jc w:val="left"/>
      </w:pPr>
      <w:r>
        <w:rPr>
          <w:rFonts w:ascii="Arial" w:hAnsi="Arial" w:eastAsia="Arial" w:cs="Arial"/>
          <w:color w:val="242424"/>
          <w:sz w:val="22"/>
          <w:szCs w:val="22"/>
        </w:rPr>
        <w:t>The principal structural demand driver is aging: 19.5% of residents were 65 or older in June 2026, and the citizen share was higher at 21.4%.</w:t>
      </w:r>
      <w:hyperlink r:id="rId18">
        <w:r>
          <w:rPr>
            <w:rFonts w:ascii="Arial" w:hAnsi="Arial" w:eastAsia="Arial" w:cs="Arial"/>
            <w:vertAlign w:val="superscript"/>
            <w:color w:val="DC1E34"/>
            <w:sz w:val="16"/>
            <w:szCs w:val="16"/>
          </w:rPr>
          <w:t xml:space="preserve">3,</w:t>
        </w:r>
      </w:hyperlink>
      <w:hyperlink r:id="rId22">
        <w:r>
          <w:rPr>
            <w:rFonts w:ascii="Arial" w:hAnsi="Arial" w:eastAsia="Arial" w:cs="Arial"/>
            <w:vertAlign w:val="superscript"/>
            <w:color w:val="DC1E34"/>
            <w:sz w:val="16"/>
            <w:szCs w:val="16"/>
          </w:rPr>
          <w:t xml:space="preserve">7</w:t>
        </w:r>
      </w:hyperlink>
      <w:r>
        <w:rPr>
          <w:rFonts w:ascii="Arial" w:hAnsi="Arial" w:eastAsia="Arial" w:cs="Arial"/>
          <w:color w:val="242424"/>
          <w:sz w:val="22"/>
          <w:szCs w:val="22"/>
        </w:rPr>
        <w:t xml:space="preserve"> Age Well SG aims to keep older people active, socially connected and supported within their communities, while Healthier SG focuses on preventive care with a regular family doctor.</w:t>
      </w:r>
      <w:hyperlink r:id="rId30">
        <w:r>
          <w:rPr>
            <w:rFonts w:ascii="Arial" w:hAnsi="Arial" w:eastAsia="Arial" w:cs="Arial"/>
            <w:vertAlign w:val="superscript"/>
            <w:color w:val="DC1E34"/>
            <w:sz w:val="16"/>
            <w:szCs w:val="16"/>
          </w:rPr>
          <w:t xml:space="preserve">21,</w:t>
        </w:r>
      </w:hyperlink>
      <w:hyperlink r:id="rId31">
        <w:r>
          <w:rPr>
            <w:rFonts w:ascii="Arial" w:hAnsi="Arial" w:eastAsia="Arial" w:cs="Arial"/>
            <w:vertAlign w:val="superscript"/>
            <w:color w:val="DC1E34"/>
            <w:sz w:val="16"/>
            <w:szCs w:val="16"/>
          </w:rPr>
          <w:t xml:space="preserve">36</w:t>
        </w:r>
      </w:hyperlink>
    </w:p>
    <w:p>
      <w:pPr>
        <w:keepLines/>
        <w:widowControl/>
        <w:spacing w:before="0" w:after="140" w:line="288" w:lineRule="exact"/>
        <w:ind w:left="0" w:firstLine="0" w:right="0"/>
        <w:jc w:val="left"/>
      </w:pPr>
      <w:r>
        <w:rPr>
          <w:rFonts w:ascii="Arial" w:hAnsi="Arial" w:eastAsia="Arial" w:cs="Arial"/>
          <w:color w:val="242424"/>
          <w:sz w:val="22"/>
          <w:szCs w:val="22"/>
        </w:rPr>
        <w:t>MOH’s March 2026 update maintained plans for approximately 2,800 additional public acute and community hospital beds by 2030, alongside new and redeveloped polyclinics.</w:t>
      </w:r>
      <w:hyperlink r:id="rId32">
        <w:r>
          <w:rPr>
            <w:rFonts w:ascii="Arial" w:hAnsi="Arial" w:eastAsia="Arial" w:cs="Arial"/>
            <w:vertAlign w:val="superscript"/>
            <w:color w:val="DC1E34"/>
            <w:sz w:val="16"/>
            <w:szCs w:val="16"/>
          </w:rPr>
          <w:t xml:space="preserve">20</w:t>
        </w:r>
      </w:hyperlink>
      <w:r>
        <w:rPr>
          <w:rFonts w:ascii="Arial" w:hAnsi="Arial" w:eastAsia="Arial" w:cs="Arial"/>
          <w:color w:val="242424"/>
          <w:sz w:val="22"/>
          <w:szCs w:val="22"/>
        </w:rPr>
        <w:t xml:space="preserve"> The Health Information Act, enacted on February 3, 2026, establishes a framework for sharing key records and protecting health information across care settings.</w:t>
      </w:r>
      <w:hyperlink r:id="rId33">
        <w:r>
          <w:rPr>
            <w:rFonts w:ascii="Arial" w:hAnsi="Arial" w:eastAsia="Arial" w:cs="Arial"/>
            <w:vertAlign w:val="superscript"/>
            <w:color w:val="DC1E34"/>
            <w:sz w:val="16"/>
            <w:szCs w:val="16"/>
          </w:rPr>
          <w:t xml:space="preserve">37</w:t>
        </w:r>
      </w:hyperlink>
      <w:r>
        <w:rPr>
          <w:rFonts w:ascii="Arial" w:hAnsi="Arial" w:eastAsia="Arial" w:cs="Arial"/>
          <w:color w:val="242424"/>
          <w:sz w:val="22"/>
          <w:szCs w:val="22"/>
        </w:rPr>
        <w:t xml:space="preserve"> The official implementation schedule provides for information from general practitioners, private hospitals and specified diagnostic providers from September 2027, followed by specialist outpatient clinics, nursing homes and other designated providers from September 2028.</w:t>
      </w:r>
      <w:hyperlink r:id="rId33">
        <w:r>
          <w:rPr>
            <w:rFonts w:ascii="Arial" w:hAnsi="Arial" w:eastAsia="Arial" w:cs="Arial"/>
            <w:vertAlign w:val="superscript"/>
            <w:color w:val="DC1E34"/>
            <w:sz w:val="16"/>
            <w:szCs w:val="16"/>
          </w:rPr>
          <w:t xml:space="preserve">37</w:t>
        </w:r>
      </w:hyperlink>
      <w:r>
        <w:rPr>
          <w:rFonts w:ascii="Arial" w:hAnsi="Arial" w:eastAsia="Arial" w:cs="Arial"/>
          <w:color w:val="242424"/>
          <w:sz w:val="22"/>
          <w:szCs w:val="22"/>
        </w:rPr>
        <w:t xml:space="preserve"> These phased contributions are intended to support coordinated care as more treatment moves into the community.</w:t>
      </w:r>
      <w:hyperlink r:id="rId33">
        <w:r>
          <w:rPr>
            <w:rFonts w:ascii="Arial" w:hAnsi="Arial" w:eastAsia="Arial" w:cs="Arial"/>
            <w:vertAlign w:val="superscript"/>
            <w:color w:val="DC1E34"/>
            <w:sz w:val="16"/>
            <w:szCs w:val="16"/>
          </w:rPr>
          <w:t xml:space="preserve">37</w:t>
        </w:r>
      </w:hyperlink>
    </w:p>
    <w:p>
      <w:pPr>
        <w:pStyle w:val="Heading1"/>
        <w:keepNext/>
        <w:keepLines/>
        <w:widowControl/>
        <w:spacing w:before="0" w:after="260" w:line="500" w:lineRule="exact"/>
        <w:ind w:left="0" w:firstLine="0" w:right="0"/>
        <w:jc w:val="left"/>
      </w:pPr>
      <w:bookmarkStart w:id="834" w:name="disease"/>
      <w:r>
        <w:rPr>
          <w:rFonts w:ascii="Arial" w:hAnsi="Arial" w:eastAsia="Arial" w:cs="Arial"/>
          <w:color w:val="DC1E34"/>
          <w:sz w:val="42"/>
          <w:szCs w:val="42"/>
          <w:b w:val="1"/>
        </w:rPr>
        <w:t>Disease prevalence</w:t>
      </w:r>
      <w:bookmarkEnd w:id="834"/>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Leading causes of death</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Cancer 26.6%; pneumonia 22.9%; ischemic heart disease 21.2%; stroke/cerebrovascular disease 5.6% (2025 deaths)</w:t>
            </w:r>
            <w:hyperlink r:id="rId34">
              <w:r>
                <w:rPr>
                  <w:rFonts w:ascii="Arial" w:hAnsi="Arial" w:eastAsia="Arial" w:cs="Arial"/>
                  <w:vertAlign w:val="superscript"/>
                  <w:color w:val="DC1E34"/>
                  <w:sz w:val="16"/>
                  <w:szCs w:val="16"/>
                </w:rPr>
                <w:t xml:space="preserve">15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Diabetes</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9.1% of residents aged 18 to 74 (2023 to 2024, crude prevalence)</w:t>
            </w:r>
            <w:hyperlink r:id="rId35">
              <w:r>
                <w:rPr>
                  <w:rFonts w:ascii="Arial" w:hAnsi="Arial" w:eastAsia="Arial" w:cs="Arial"/>
                  <w:vertAlign w:val="superscript"/>
                  <w:color w:val="DC1E34"/>
                  <w:sz w:val="16"/>
                  <w:szCs w:val="16"/>
                </w:rPr>
                <w:t xml:space="preserve">16</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Hypertension</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33.8% of residents aged 18 to 74 (2023 to 2024, crude prevalence)</w:t>
            </w:r>
            <w:hyperlink r:id="rId35">
              <w:r>
                <w:rPr>
                  <w:rFonts w:ascii="Arial" w:hAnsi="Arial" w:eastAsia="Arial" w:cs="Arial"/>
                  <w:vertAlign w:val="superscript"/>
                  <w:color w:val="DC1E34"/>
                  <w:sz w:val="16"/>
                  <w:szCs w:val="16"/>
                </w:rPr>
                <w:t xml:space="preserve">16</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Obesity</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12.7% of residents aged 18 to 74, BMI ≥30 (2023 to 2024)</w:t>
            </w:r>
            <w:hyperlink r:id="rId35">
              <w:r>
                <w:rPr>
                  <w:rFonts w:ascii="Arial" w:hAnsi="Arial" w:eastAsia="Arial" w:cs="Arial"/>
                  <w:vertAlign w:val="superscript"/>
                  <w:color w:val="DC1E34"/>
                  <w:sz w:val="16"/>
                  <w:szCs w:val="16"/>
                </w:rPr>
                <w:t xml:space="preserve">16</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Daily smoking</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8.8% of residents aged 18 to 74 (2025, crude prevalence)</w:t>
            </w:r>
            <w:hyperlink r:id="rId36">
              <w:r>
                <w:rPr>
                  <w:rFonts w:ascii="Arial" w:hAnsi="Arial" w:eastAsia="Arial" w:cs="Arial"/>
                  <w:vertAlign w:val="superscript"/>
                  <w:color w:val="DC1E34"/>
                  <w:sz w:val="16"/>
                  <w:szCs w:val="16"/>
                </w:rPr>
                <w:t xml:space="preserve">17</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42424"/>
          <w:sz w:val="22"/>
          <w:szCs w:val="22"/>
        </w:rPr>
        <w:t>The mortality profile combines a substantial chronic disease burden with respiratory infection: cancer, pneumonia and ischemic heart disease were the three largest recorded causes of death in 2025.</w:t>
      </w:r>
      <w:hyperlink r:id="rId34">
        <w:r>
          <w:rPr>
            <w:rFonts w:ascii="Arial" w:hAnsi="Arial" w:eastAsia="Arial" w:cs="Arial"/>
            <w:vertAlign w:val="superscript"/>
            <w:color w:val="DC1E34"/>
            <w:sz w:val="16"/>
            <w:szCs w:val="16"/>
          </w:rPr>
          <w:t xml:space="preserve">15</w:t>
        </w:r>
      </w:hyperlink>
      <w:r>
        <w:rPr>
          <w:rFonts w:ascii="Arial" w:hAnsi="Arial" w:eastAsia="Arial" w:cs="Arial"/>
          <w:color w:val="242424"/>
          <w:sz w:val="22"/>
          <w:szCs w:val="22"/>
        </w:rPr>
        <w:t xml:space="preserve"> The 2023 to 2024 health examination estimated diabetes prevalence at 9.1%, hypertension at 33.8% and high cholesterol at 30.5% among residents aged 18 to 74.</w:t>
      </w:r>
      <w:hyperlink r:id="rId35">
        <w:r>
          <w:rPr>
            <w:rFonts w:ascii="Arial" w:hAnsi="Arial" w:eastAsia="Arial" w:cs="Arial"/>
            <w:vertAlign w:val="superscript"/>
            <w:color w:val="DC1E34"/>
            <w:sz w:val="16"/>
            <w:szCs w:val="16"/>
          </w:rPr>
          <w:t xml:space="preserve">16</w:t>
        </w:r>
      </w:hyperlink>
      <w:r>
        <w:rPr>
          <w:rFonts w:ascii="Arial" w:hAnsi="Arial" w:eastAsia="Arial" w:cs="Arial"/>
          <w:color w:val="242424"/>
          <w:sz w:val="22"/>
          <w:szCs w:val="22"/>
        </w:rPr>
        <w:t xml:space="preserve"> More than half of residents with hypertension in that examination had not previously been diagnosed, reinforcing the value of screening and sustained primary care.</w:t>
      </w:r>
      <w:hyperlink r:id="rId35">
        <w:r>
          <w:rPr>
            <w:rFonts w:ascii="Arial" w:hAnsi="Arial" w:eastAsia="Arial" w:cs="Arial"/>
            <w:vertAlign w:val="superscript"/>
            <w:color w:val="DC1E34"/>
            <w:sz w:val="16"/>
            <w:szCs w:val="16"/>
          </w:rPr>
          <w:t xml:space="preserve">16</w:t>
        </w:r>
      </w:hyperlink>
      <w:r>
        <w:rPr>
          <w:rFonts w:ascii="Arial" w:hAnsi="Arial" w:eastAsia="Arial" w:cs="Arial"/>
          <w:color w:val="242424"/>
          <w:sz w:val="22"/>
          <w:szCs w:val="22"/>
        </w:rPr>
        <w:t xml:space="preserve"> The newer NPHS 2025 report covers household interviews, while its next measured chronic disease results are scheduled for the NPHS 2026 report.</w:t>
      </w:r>
      <w:hyperlink r:id="rId36">
        <w:r>
          <w:rPr>
            <w:rFonts w:ascii="Arial" w:hAnsi="Arial" w:eastAsia="Arial" w:cs="Arial"/>
            <w:vertAlign w:val="superscript"/>
            <w:color w:val="DC1E34"/>
            <w:sz w:val="16"/>
            <w:szCs w:val="16"/>
          </w:rPr>
          <w:t xml:space="preserve">17</w:t>
        </w:r>
      </w:hyperlink>
      <w:r>
        <w:rPr>
          <w:rFonts w:ascii="Arial" w:hAnsi="Arial" w:eastAsia="Arial" w:cs="Arial"/>
          <w:color w:val="242424"/>
          <w:sz w:val="22"/>
          <w:szCs w:val="22"/>
        </w:rPr>
        <w:t xml:space="preserve"> In 2025, 8.8% reported daily smoking and 87.3% met the survey definition of sufficient total physical activity.</w:t>
      </w:r>
      <w:hyperlink r:id="rId36">
        <w:r>
          <w:rPr>
            <w:rFonts w:ascii="Arial" w:hAnsi="Arial" w:eastAsia="Arial" w:cs="Arial"/>
            <w:vertAlign w:val="superscript"/>
            <w:color w:val="DC1E34"/>
            <w:sz w:val="16"/>
            <w:szCs w:val="16"/>
          </w:rPr>
          <w:t xml:space="preserve">17</w:t>
        </w:r>
      </w:hyperlink>
    </w:p>
    <w:p>
      <w:pPr>
        <w:pStyle w:val="Heading1"/>
        <w:keepNext/>
        <w:keepLines/>
        <w:widowControl/>
        <w:spacing w:before="0" w:after="260" w:line="500" w:lineRule="exact"/>
        <w:ind w:left="0" w:firstLine="0" w:right="0"/>
        <w:jc w:val="left"/>
      </w:pPr>
      <w:bookmarkStart w:id="968" w:name="delivery"/>
      <w:r>
        <w:rPr>
          <w:rFonts w:ascii="Arial" w:hAnsi="Arial" w:eastAsia="Arial" w:cs="Arial"/>
          <w:color w:val="DC1E34"/>
          <w:sz w:val="42"/>
          <w:szCs w:val="42"/>
          <w:b w:val="1"/>
        </w:rPr>
        <w:t>Healthcare delivery</w:t>
      </w:r>
      <w:bookmarkEnd w:id="968"/>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Public healthcare system</w:t>
      </w:r>
    </w:p>
    <w:p>
      <w:pPr>
        <w:keepLines/>
        <w:widowControl/>
        <w:spacing w:before="0" w:after="140" w:line="288" w:lineRule="exact"/>
        <w:ind w:left="0" w:firstLine="0" w:right="0"/>
        <w:jc w:val="left"/>
      </w:pPr>
      <w:r>
        <w:rPr>
          <w:rFonts w:ascii="Arial" w:hAnsi="Arial" w:eastAsia="Arial" w:cs="Arial"/>
          <w:color w:val="242424"/>
          <w:sz w:val="22"/>
          <w:szCs w:val="22"/>
        </w:rPr>
        <w:t>Public healthcare is organized into National Healthcare Group in the central region, National University Health System in the west and SingHealth in the east.</w:t>
      </w:r>
      <w:hyperlink r:id="rId26">
        <w:r>
          <w:rPr>
            <w:rFonts w:ascii="Arial" w:hAnsi="Arial" w:eastAsia="Arial" w:cs="Arial"/>
            <w:vertAlign w:val="superscript"/>
            <w:color w:val="DC1E34"/>
            <w:sz w:val="16"/>
            <w:szCs w:val="16"/>
          </w:rPr>
          <w:t xml:space="preserve">11</w:t>
        </w:r>
      </w:hyperlink>
      <w:r>
        <w:rPr>
          <w:rFonts w:ascii="Arial" w:hAnsi="Arial" w:eastAsia="Arial" w:cs="Arial"/>
          <w:color w:val="242424"/>
          <w:sz w:val="22"/>
          <w:szCs w:val="22"/>
        </w:rPr>
        <w:t xml:space="preserve"> The clusters combine primary, acute, specialist and intermediate care and work with community and social-service partners as regional health managers.</w:t>
      </w:r>
      <w:hyperlink r:id="rId26">
        <w:r>
          <w:rPr>
            <w:rFonts w:ascii="Arial" w:hAnsi="Arial" w:eastAsia="Arial" w:cs="Arial"/>
            <w:vertAlign w:val="superscript"/>
            <w:color w:val="DC1E34"/>
            <w:sz w:val="16"/>
            <w:szCs w:val="16"/>
          </w:rPr>
          <w:t xml:space="preserve">11</w:t>
        </w:r>
      </w:hyperlink>
      <w:r>
        <w:rPr>
          <w:rFonts w:ascii="Arial" w:hAnsi="Arial" w:eastAsia="Arial" w:cs="Arial"/>
          <w:color w:val="242424"/>
          <w:sz w:val="22"/>
          <w:szCs w:val="22"/>
        </w:rPr>
        <w:t xml:space="preserve"> MOH recorded 11 public acute hospitals and 10,784 public acute beds in 2025, alongside a separate psychiatric hospital and public community hospitals.</w:t>
      </w:r>
      <w:hyperlink r:id="rId37">
        <w:r>
          <w:rPr>
            <w:rFonts w:ascii="Arial" w:hAnsi="Arial" w:eastAsia="Arial" w:cs="Arial"/>
            <w:vertAlign w:val="superscript"/>
            <w:color w:val="DC1E34"/>
            <w:sz w:val="16"/>
            <w:szCs w:val="16"/>
          </w:rPr>
          <w:t xml:space="preserve">18,</w:t>
        </w:r>
      </w:hyperlink>
      <w:hyperlink r:id="rId38">
        <w:r>
          <w:rPr>
            <w:rFonts w:ascii="Arial" w:hAnsi="Arial" w:eastAsia="Arial" w:cs="Arial"/>
            <w:vertAlign w:val="superscript"/>
            <w:color w:val="DC1E34"/>
            <w:sz w:val="16"/>
            <w:szCs w:val="16"/>
          </w:rPr>
          <w:t xml:space="preserve">19</w:t>
        </w:r>
      </w:hyperlink>
      <w:r>
        <w:rPr>
          <w:rFonts w:ascii="Arial" w:hAnsi="Arial" w:eastAsia="Arial" w:cs="Arial"/>
          <w:color w:val="242424"/>
          <w:sz w:val="22"/>
          <w:szCs w:val="22"/>
        </w:rPr>
        <w:t xml:space="preserve"> By end-February 2026, the polyclinic network had reached 28 sites.</w:t>
      </w:r>
      <w:hyperlink r:id="rId32">
        <w:r>
          <w:rPr>
            <w:rFonts w:ascii="Arial" w:hAnsi="Arial" w:eastAsia="Arial" w:cs="Arial"/>
            <w:vertAlign w:val="superscript"/>
            <w:color w:val="DC1E34"/>
            <w:sz w:val="16"/>
            <w:szCs w:val="16"/>
          </w:rPr>
          <w:t xml:space="preserve">20</w:t>
        </w:r>
      </w:hyperlink>
    </w:p>
    <w:p>
      <w:pPr>
        <w:keepLines/>
        <w:widowControl/>
        <w:spacing w:before="0" w:after="140" w:line="288" w:lineRule="exact"/>
        <w:ind w:left="0" w:firstLine="0" w:right="0"/>
        <w:jc w:val="left"/>
      </w:pPr>
      <w:r>
        <w:rPr>
          <w:rFonts w:ascii="Arial" w:hAnsi="Arial" w:eastAsia="Arial" w:cs="Arial"/>
          <w:color w:val="242424"/>
          <w:sz w:val="22"/>
          <w:szCs w:val="22"/>
        </w:rPr>
        <w:t>Healthier SG gives citizens and permanent residents aged 40 and older an ongoing relationship with a family doctor and an individualized prevention plan covering lifestyle, screening and vaccination.</w:t>
      </w:r>
      <w:hyperlink r:id="rId30">
        <w:r>
          <w:rPr>
            <w:rFonts w:ascii="Arial" w:hAnsi="Arial" w:eastAsia="Arial" w:cs="Arial"/>
            <w:vertAlign w:val="superscript"/>
            <w:color w:val="DC1E34"/>
            <w:sz w:val="16"/>
            <w:szCs w:val="16"/>
          </w:rPr>
          <w:t xml:space="preserve">21</w:t>
        </w:r>
      </w:hyperlink>
      <w:r>
        <w:rPr>
          <w:rFonts w:ascii="Arial" w:hAnsi="Arial" w:eastAsia="Arial" w:cs="Arial"/>
          <w:color w:val="242424"/>
          <w:sz w:val="22"/>
          <w:szCs w:val="22"/>
        </w:rPr>
        <w:t xml:space="preserve"> Government subsidies and the MediSave, MediShield Life and MediFund framework support access to public-sector treatment, with assistance varying by financial circumstances and ward choice.</w:t>
      </w:r>
      <w:hyperlink r:id="rId39">
        <w:r>
          <w:rPr>
            <w:rFonts w:ascii="Arial" w:hAnsi="Arial" w:eastAsia="Arial" w:cs="Arial"/>
            <w:vertAlign w:val="superscript"/>
            <w:color w:val="DC1E34"/>
            <w:sz w:val="16"/>
            <w:szCs w:val="16"/>
          </w:rPr>
          <w:t xml:space="preserve">22</w:t>
        </w:r>
      </w:hyperlink>
      <w:r>
        <w:rPr>
          <w:rFonts w:ascii="Arial" w:hAnsi="Arial" w:eastAsia="Arial" w:cs="Arial"/>
          <w:color w:val="242424"/>
          <w:sz w:val="22"/>
          <w:szCs w:val="22"/>
        </w:rPr>
        <w:t xml:space="preserve"> The operating direction is therefore to manage risk earlier and coordinate care across settings rather than rely solely on additional acute beds.</w:t>
      </w:r>
      <w:hyperlink r:id="rId26">
        <w:r>
          <w:rPr>
            <w:rFonts w:ascii="Arial" w:hAnsi="Arial" w:eastAsia="Arial" w:cs="Arial"/>
            <w:vertAlign w:val="superscript"/>
            <w:color w:val="DC1E34"/>
            <w:sz w:val="16"/>
            <w:szCs w:val="16"/>
          </w:rPr>
          <w:t xml:space="preserve">11,</w:t>
        </w:r>
      </w:hyperlink>
      <w:hyperlink r:id="rId30">
        <w:r>
          <w:rPr>
            <w:rFonts w:ascii="Arial" w:hAnsi="Arial" w:eastAsia="Arial" w:cs="Arial"/>
            <w:vertAlign w:val="superscript"/>
            <w:color w:val="DC1E34"/>
            <w:sz w:val="16"/>
            <w:szCs w:val="16"/>
          </w:rPr>
          <w:t xml:space="preserve">21</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Private healthcare system</w:t>
      </w:r>
    </w:p>
    <w:p>
      <w:pPr>
        <w:keepLines/>
        <w:widowControl/>
        <w:spacing w:before="0" w:after="140" w:line="288" w:lineRule="exact"/>
        <w:ind w:left="0" w:firstLine="0" w:right="0"/>
        <w:jc w:val="left"/>
      </w:pPr>
      <w:r>
        <w:rPr>
          <w:rFonts w:ascii="Arial" w:hAnsi="Arial" w:eastAsia="Arial" w:cs="Arial"/>
          <w:color w:val="242424"/>
          <w:sz w:val="22"/>
          <w:szCs w:val="22"/>
        </w:rPr>
        <w:t>MOH recorded eight private acute hospitals with 1,649 beds in 2025, compared with 10,784 public acute beds and 334 not-for-profit acute beds.</w:t>
      </w:r>
      <w:hyperlink r:id="rId37">
        <w:r>
          <w:rPr>
            <w:rFonts w:ascii="Arial" w:hAnsi="Arial" w:eastAsia="Arial" w:cs="Arial"/>
            <w:vertAlign w:val="superscript"/>
            <w:color w:val="DC1E34"/>
            <w:sz w:val="16"/>
            <w:szCs w:val="16"/>
          </w:rPr>
          <w:t xml:space="preserve">18,</w:t>
        </w:r>
      </w:hyperlink>
      <w:hyperlink r:id="rId38">
        <w:r>
          <w:rPr>
            <w:rFonts w:ascii="Arial" w:hAnsi="Arial" w:eastAsia="Arial" w:cs="Arial"/>
            <w:vertAlign w:val="superscript"/>
            <w:color w:val="DC1E34"/>
            <w:sz w:val="16"/>
            <w:szCs w:val="16"/>
          </w:rPr>
          <w:t xml:space="preserve">19</w:t>
        </w:r>
      </w:hyperlink>
      <w:r>
        <w:rPr>
          <w:rFonts w:ascii="Arial" w:hAnsi="Arial" w:eastAsia="Arial" w:cs="Arial"/>
          <w:color w:val="242424"/>
          <w:sz w:val="22"/>
          <w:szCs w:val="22"/>
        </w:rPr>
        <w:t xml:space="preserve"> Private provision is particularly extensive in primary care, with 2,777 private general-practitioner clinics in the 2025 facilities count.</w:t>
      </w:r>
      <w:hyperlink r:id="rId37">
        <w:r>
          <w:rPr>
            <w:rFonts w:ascii="Arial" w:hAnsi="Arial" w:eastAsia="Arial" w:cs="Arial"/>
            <w:vertAlign w:val="superscript"/>
            <w:color w:val="DC1E34"/>
            <w:sz w:val="16"/>
            <w:szCs w:val="16"/>
          </w:rPr>
          <w:t xml:space="preserve">18</w:t>
        </w:r>
      </w:hyperlink>
      <w:r>
        <w:rPr>
          <w:rFonts w:ascii="Arial" w:hAnsi="Arial" w:eastAsia="Arial" w:cs="Arial"/>
          <w:color w:val="242424"/>
          <w:sz w:val="22"/>
          <w:szCs w:val="22"/>
        </w:rPr>
        <w:t xml:space="preserve"> The hospital and professional fee components can be billed separately; MOH publishes recommended private-sector fee ranges to help patients and insurers compare routine cases.</w:t>
      </w:r>
      <w:hyperlink r:id="rId40">
        <w:r>
          <w:rPr>
            <w:rFonts w:ascii="Arial" w:hAnsi="Arial" w:eastAsia="Arial" w:cs="Arial"/>
            <w:vertAlign w:val="superscript"/>
            <w:color w:val="DC1E34"/>
            <w:sz w:val="16"/>
            <w:szCs w:val="16"/>
          </w:rPr>
          <w:t xml:space="preserve">23</w:t>
        </w:r>
      </w:hyperlink>
    </w:p>
    <w:p>
      <w:pPr>
        <w:keepLines/>
        <w:widowControl/>
        <w:spacing w:before="0" w:after="140" w:line="288" w:lineRule="exact"/>
        <w:ind w:left="0" w:firstLine="0" w:right="0"/>
        <w:jc w:val="left"/>
      </w:pPr>
      <w:r>
        <w:rPr>
          <w:rFonts w:ascii="Arial" w:hAnsi="Arial" w:eastAsia="Arial" w:cs="Arial"/>
          <w:color w:val="242424"/>
          <w:sz w:val="22"/>
          <w:szCs w:val="22"/>
        </w:rPr>
        <w:t>Raffles Hospital is one example of a private hospital maintaining a dedicated international patient center that supports clinical appointments and non-medical arrangements for overseas patients.</w:t>
      </w:r>
      <w:hyperlink r:id="rId41">
        <w:r>
          <w:rPr>
            <w:rFonts w:ascii="Arial" w:hAnsi="Arial" w:eastAsia="Arial" w:cs="Arial"/>
            <w:vertAlign w:val="superscript"/>
            <w:color w:val="DC1E34"/>
            <w:sz w:val="16"/>
            <w:szCs w:val="16"/>
          </w:rPr>
          <w:t xml:space="preserve">24</w:t>
        </w:r>
      </w:hyperlink>
      <w:r>
        <w:rPr>
          <w:rFonts w:ascii="Arial" w:hAnsi="Arial" w:eastAsia="Arial" w:cs="Arial"/>
          <w:color w:val="242424"/>
          <w:sz w:val="22"/>
          <w:szCs w:val="22"/>
        </w:rPr>
        <w:t xml:space="preserve"> Singapore regulates healthcare through a services-based framework under the Healthcare Services Act, including newer delivery models such as mobile and virtual care.</w:t>
      </w:r>
      <w:hyperlink r:id="rId42">
        <w:r>
          <w:rPr>
            <w:rFonts w:ascii="Arial" w:hAnsi="Arial" w:eastAsia="Arial" w:cs="Arial"/>
            <w:vertAlign w:val="superscript"/>
            <w:color w:val="DC1E34"/>
            <w:sz w:val="16"/>
            <w:szCs w:val="16"/>
          </w:rPr>
          <w:t xml:space="preserve">25</w:t>
        </w:r>
      </w:hyperlink>
    </w:p>
    <w:p>
      <w:pPr>
        <w:pStyle w:val="Heading1"/>
        <w:keepNext/>
        <w:keepLines/>
        <w:widowControl/>
        <w:spacing w:before="0" w:after="260" w:line="500" w:lineRule="exact"/>
        <w:ind w:left="0" w:firstLine="0" w:right="0"/>
        <w:jc w:val="left"/>
      </w:pPr>
      <w:bookmarkStart w:id="1041" w:name="financing"/>
      <w:r>
        <w:rPr>
          <w:rFonts w:ascii="Arial" w:hAnsi="Arial" w:eastAsia="Arial" w:cs="Arial"/>
          <w:color w:val="DC1E34"/>
          <w:sz w:val="42"/>
          <w:szCs w:val="42"/>
          <w:b w:val="1"/>
        </w:rPr>
        <w:t>Healthcare financing</w:t>
      </w:r>
      <w:bookmarkEnd w:id="1041"/>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Current spending per capita</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US$3,921.6 (2023, current dollars)</w:t>
            </w:r>
            <w:hyperlink r:id="rId43">
              <w:r>
                <w:rPr>
                  <w:rFonts w:ascii="Arial" w:hAnsi="Arial" w:eastAsia="Arial" w:cs="Arial"/>
                  <w:vertAlign w:val="superscript"/>
                  <w:color w:val="DC1E34"/>
                  <w:sz w:val="16"/>
                  <w:szCs w:val="16"/>
                </w:rPr>
                <w:t xml:space="preserve">26</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Government health expenditure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 xml:space="preserve">S$17.20 billion (US$13.5 billion); 2.5% of GDP (FY2023)</w:t>
            </w:r>
            <w:hyperlink r:id="rId44">
              <w:r>
                <w:rPr>
                  <w:rFonts w:ascii="Arial" w:hAnsi="Arial" w:eastAsia="Arial" w:cs="Arial"/>
                  <w:vertAlign w:val="superscript"/>
                  <w:color w:val="DC1E34"/>
                  <w:sz w:val="16"/>
                  <w:szCs w:val="16"/>
                </w:rPr>
                <w:t xml:space="preserve">27</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OECD spending benchmark</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9.3% of GDP (2024, total spending)</w:t>
            </w:r>
            <w:hyperlink r:id="rId45">
              <w:r>
                <w:rPr>
                  <w:rFonts w:ascii="Arial" w:hAnsi="Arial" w:eastAsia="Arial" w:cs="Arial"/>
                  <w:vertAlign w:val="superscript"/>
                  <w:color w:val="DC1E34"/>
                  <w:sz w:val="16"/>
                  <w:szCs w:val="16"/>
                </w:rPr>
                <w:t xml:space="preserve">28</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42424"/>
          <w:sz w:val="22"/>
          <w:szCs w:val="22"/>
        </w:rPr>
        <w:t>Singapore combines public subsidy with compulsory medical savings, national catastrophic insurance and a means-tested safety net.</w:t>
      </w:r>
      <w:hyperlink r:id="rId39">
        <w:r>
          <w:rPr>
            <w:rFonts w:ascii="Arial" w:hAnsi="Arial" w:eastAsia="Arial" w:cs="Arial"/>
            <w:vertAlign w:val="superscript"/>
            <w:color w:val="DC1E34"/>
            <w:sz w:val="16"/>
            <w:szCs w:val="16"/>
          </w:rPr>
          <w:t xml:space="preserve">22</w:t>
        </w:r>
      </w:hyperlink>
      <w:r>
        <w:rPr>
          <w:rFonts w:ascii="Arial" w:hAnsi="Arial" w:eastAsia="Arial" w:cs="Arial"/>
          <w:color w:val="242424"/>
          <w:sz w:val="22"/>
          <w:szCs w:val="22"/>
        </w:rPr>
        <w:t xml:space="preserve"> MediShield Life provides lifelong coverage for citizens and permanent residents.</w:t>
      </w:r>
      <w:hyperlink r:id="rId46">
        <w:r>
          <w:rPr>
            <w:rFonts w:ascii="Arial" w:hAnsi="Arial" w:eastAsia="Arial" w:cs="Arial"/>
            <w:vertAlign w:val="superscript"/>
            <w:color w:val="DC1E34"/>
            <w:sz w:val="16"/>
            <w:szCs w:val="16"/>
          </w:rPr>
          <w:t xml:space="preserve">29</w:t>
        </w:r>
      </w:hyperlink>
    </w:p>
    <w:p>
      <w:pPr>
        <w:keepLines/>
        <w:widowControl/>
        <w:spacing w:before="0" w:after="140" w:line="288" w:lineRule="exact"/>
        <w:ind w:left="0" w:firstLine="0" w:right="0"/>
        <w:jc w:val="left"/>
      </w:pPr>
      <w:r>
        <w:rPr>
          <w:rFonts w:ascii="Arial" w:hAnsi="Arial" w:eastAsia="Arial" w:cs="Arial"/>
          <w:color w:val="242424"/>
          <w:sz w:val="22"/>
          <w:szCs w:val="22"/>
        </w:rPr>
        <w:t>WHO expenditure data published through the World Bank place current health spending at US$3,922 per person in 2023.</w:t>
      </w:r>
      <w:hyperlink r:id="rId43">
        <w:r>
          <w:rPr>
            <w:rFonts w:ascii="Arial" w:hAnsi="Arial" w:eastAsia="Arial" w:cs="Arial"/>
            <w:vertAlign w:val="superscript"/>
            <w:color w:val="DC1E34"/>
            <w:sz w:val="16"/>
            <w:szCs w:val="16"/>
          </w:rPr>
          <w:t xml:space="preserve">26</w:t>
        </w:r>
      </w:hyperlink>
      <w:r>
        <w:rPr>
          <w:rFonts w:ascii="Arial" w:hAnsi="Arial" w:eastAsia="Arial" w:cs="Arial"/>
          <w:color w:val="242424"/>
          <w:sz w:val="22"/>
          <w:szCs w:val="22"/>
        </w:rPr>
        <w:t xml:space="preserve"> MOH separately reports government health expenditure of S$17.20 billion (US$13.5 billion), or 2.5% of GDP, for FY2023; this fiscal measure includes endowment-fund expenditure, excludes government transfers and is not total national current health expenditure.</w:t>
      </w:r>
      <w:hyperlink r:id="rId44">
        <w:r>
          <w:rPr>
            <w:rFonts w:ascii="Arial" w:hAnsi="Arial" w:eastAsia="Arial" w:cs="Arial"/>
            <w:vertAlign w:val="superscript"/>
            <w:color w:val="DC1E34"/>
            <w:sz w:val="16"/>
            <w:szCs w:val="16"/>
          </w:rPr>
          <w:t xml:space="preserve">27</w:t>
        </w:r>
      </w:hyperlink>
      <w:r>
        <w:rPr>
          <w:rFonts w:ascii="Arial" w:hAnsi="Arial" w:eastAsia="Arial" w:cs="Arial"/>
          <w:color w:val="242424"/>
          <w:sz w:val="22"/>
          <w:szCs w:val="22"/>
        </w:rPr>
        <w:t xml:space="preserve"> OECD countries averaged total health spending of 9.3% of GDP in 2024; the different spending scope and reference year prevent a like-for-like comparison with Singapore’s government-only figure.</w:t>
      </w:r>
      <w:hyperlink r:id="rId44">
        <w:r>
          <w:rPr>
            <w:rFonts w:ascii="Arial" w:hAnsi="Arial" w:eastAsia="Arial" w:cs="Arial"/>
            <w:vertAlign w:val="superscript"/>
            <w:color w:val="DC1E34"/>
            <w:sz w:val="16"/>
            <w:szCs w:val="16"/>
          </w:rPr>
          <w:t xml:space="preserve">27,</w:t>
        </w:r>
      </w:hyperlink>
      <w:hyperlink r:id="rId45">
        <w:r>
          <w:rPr>
            <w:rFonts w:ascii="Arial" w:hAnsi="Arial" w:eastAsia="Arial" w:cs="Arial"/>
            <w:vertAlign w:val="superscript"/>
            <w:color w:val="DC1E34"/>
            <w:sz w:val="16"/>
            <w:szCs w:val="16"/>
          </w:rPr>
          <w:t xml:space="preserve">28</w:t>
        </w:r>
      </w:hyperlink>
    </w:p>
    <w:p>
      <w:pPr>
        <w:pStyle w:val="Heading1"/>
        <w:keepNext/>
        <w:keepLines/>
        <w:widowControl/>
        <w:spacing w:before="0" w:after="260" w:line="500" w:lineRule="exact"/>
        <w:ind w:left="0" w:firstLine="0" w:right="0"/>
        <w:jc w:val="left"/>
      </w:pPr>
      <w:bookmarkStart w:id="1078" w:name="workforce"/>
      <w:r>
        <w:rPr>
          <w:rFonts w:ascii="Arial" w:hAnsi="Arial" w:eastAsia="Arial" w:cs="Arial"/>
          <w:color w:val="DC1E34"/>
          <w:sz w:val="42"/>
          <w:szCs w:val="42"/>
          <w:b w:val="1"/>
        </w:rPr>
        <w:t>Workforce and education</w:t>
      </w:r>
      <w:bookmarkEnd w:id="1078"/>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Doctors</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2.9 per 1,000 total population (2024, MOH series)</w:t>
            </w:r>
            <w:hyperlink r:id="rId47">
              <w:r>
                <w:rPr>
                  <w:rFonts w:ascii="Arial" w:hAnsi="Arial" w:eastAsia="Arial" w:cs="Arial"/>
                  <w:vertAlign w:val="superscript"/>
                  <w:color w:val="DC1E34"/>
                  <w:sz w:val="16"/>
                  <w:szCs w:val="16"/>
                </w:rPr>
                <w:t xml:space="preserve">30</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Nurses and midwives</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8.3 per 1,000 total population (2024, MOH series)</w:t>
            </w:r>
            <w:hyperlink r:id="rId47">
              <w:r>
                <w:rPr>
                  <w:rFonts w:ascii="Arial" w:hAnsi="Arial" w:eastAsia="Arial" w:cs="Arial"/>
                  <w:vertAlign w:val="superscript"/>
                  <w:color w:val="DC1E34"/>
                  <w:sz w:val="16"/>
                  <w:szCs w:val="16"/>
                </w:rPr>
                <w:t xml:space="preserve">30</w:t>
              </w:r>
            </w:hyperlink>
          </w:p>
        </w:tc>
      </w:tr>
      <w:tr>
        <w:trPr>
          <w:cantSplit/>
        </w:trPr>
        <w:tc>
          <w:tcPr>
            <w:tcW w:type="dxa" w:w="432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Hospital beds</w:t>
            </w:r>
          </w:p>
        </w:tc>
        <w:tc>
          <w:tcPr>
            <w:tcW w:type="dxa" w:w="5760"/>
            <w:vAlign w:val="center"/>
            <w:tcMar>
              <w:top w:type="dxa" w:w="55"/>
              <w:bottom w:type="dxa" w:w="55"/>
              <w:left w:type="dxa" w:w="110"/>
              <w:right w:type="dxa" w:w="110"/>
            </w:tcMar>
            <w:shd w:val="clear" w:color="auto" w:fill="F6F6F6"/>
          </w:tcPr>
          <w:p>
            <w:pPr>
              <w:keepLines/>
              <w:widowControl/>
              <w:spacing w:before="0" w:after="0" w:line="252" w:lineRule="exact"/>
              <w:ind w:left="0" w:firstLine="0" w:right="0"/>
              <w:jc w:val="left"/>
            </w:pPr>
            <w:r>
              <w:rPr>
                <w:rFonts w:ascii="Arial" w:hAnsi="Arial" w:eastAsia="Arial" w:cs="Arial"/>
                <w:color w:val="242424"/>
                <w:sz w:val="21"/>
                <w:szCs w:val="21"/>
              </w:rPr>
              <w:t>2.83 per 1,000 total population (2025, calculated)</w:t>
            </w:r>
            <w:hyperlink r:id="rId18">
              <w:r>
                <w:rPr>
                  <w:rFonts w:ascii="Arial" w:hAnsi="Arial" w:eastAsia="Arial" w:cs="Arial"/>
                  <w:vertAlign w:val="superscript"/>
                  <w:color w:val="DC1E34"/>
                  <w:sz w:val="16"/>
                  <w:szCs w:val="16"/>
                </w:rPr>
                <w:t xml:space="preserve">3,</w:t>
              </w:r>
            </w:hyperlink>
            <w:hyperlink r:id="rId38">
              <w:r>
                <w:rPr>
                  <w:rFonts w:ascii="Arial" w:hAnsi="Arial" w:eastAsia="Arial" w:cs="Arial"/>
                  <w:vertAlign w:val="superscript"/>
                  <w:color w:val="DC1E34"/>
                  <w:sz w:val="16"/>
                  <w:szCs w:val="16"/>
                </w:rPr>
                <w:t xml:space="preserve">19</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Workforce plan</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42424"/>
                <w:sz w:val="21"/>
                <w:szCs w:val="21"/>
              </w:rPr>
              <w:t>129,000 (2024) to about 156,000 (2030 projection)</w:t>
            </w:r>
            <w:hyperlink r:id="rId48">
              <w:r>
                <w:rPr>
                  <w:rFonts w:ascii="Arial" w:hAnsi="Arial" w:eastAsia="Arial" w:cs="Arial"/>
                  <w:vertAlign w:val="superscript"/>
                  <w:color w:val="DC1E34"/>
                  <w:sz w:val="16"/>
                  <w:szCs w:val="16"/>
                </w:rPr>
                <w:t xml:space="preserve">31</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42424"/>
          <w:sz w:val="22"/>
          <w:szCs w:val="22"/>
        </w:rPr>
        <w:t>MOH reported 17,582 doctors and 50,389 nurses and midwives in 2024, including people not in active practice.</w:t>
      </w:r>
      <w:hyperlink r:id="rId47">
        <w:r>
          <w:rPr>
            <w:rFonts w:ascii="Arial" w:hAnsi="Arial" w:eastAsia="Arial" w:cs="Arial"/>
            <w:vertAlign w:val="superscript"/>
            <w:color w:val="DC1E34"/>
            <w:sz w:val="16"/>
            <w:szCs w:val="16"/>
          </w:rPr>
          <w:t xml:space="preserve">30</w:t>
        </w:r>
      </w:hyperlink>
      <w:r>
        <w:rPr>
          <w:rFonts w:ascii="Arial" w:hAnsi="Arial" w:eastAsia="Arial" w:cs="Arial"/>
          <w:color w:val="242424"/>
          <w:sz w:val="22"/>
          <w:szCs w:val="22"/>
        </w:rPr>
        <w:t xml:space="preserve"> Its published ratios were 2.9 doctors and 8.3 nurses or midwives per 1,000 total population.</w:t>
      </w:r>
      <w:hyperlink r:id="rId47">
        <w:r>
          <w:rPr>
            <w:rFonts w:ascii="Arial" w:hAnsi="Arial" w:eastAsia="Arial" w:cs="Arial"/>
            <w:vertAlign w:val="superscript"/>
            <w:color w:val="DC1E34"/>
            <w:sz w:val="16"/>
            <w:szCs w:val="16"/>
          </w:rPr>
          <w:t xml:space="preserve">30</w:t>
        </w:r>
      </w:hyperlink>
      <w:r>
        <w:rPr>
          <w:rFonts w:ascii="Arial" w:hAnsi="Arial" w:eastAsia="Arial" w:cs="Arial"/>
          <w:color w:val="242424"/>
          <w:sz w:val="22"/>
          <w:szCs w:val="22"/>
        </w:rPr>
        <w:t xml:space="preserve"> These registration-based series are not directly equivalent to OECD practicing-workforce measures, which averaged 3.9 physicians and 9.2 nurses per 1,000 in 2023 or the nearest available year.</w:t>
      </w:r>
      <w:hyperlink r:id="rId45">
        <w:r>
          <w:rPr>
            <w:rFonts w:ascii="Arial" w:hAnsi="Arial" w:eastAsia="Arial" w:cs="Arial"/>
            <w:vertAlign w:val="superscript"/>
            <w:color w:val="DC1E34"/>
            <w:sz w:val="16"/>
            <w:szCs w:val="16"/>
          </w:rPr>
          <w:t xml:space="preserve">28</w:t>
        </w:r>
      </w:hyperlink>
    </w:p>
    <w:p>
      <w:pPr>
        <w:keepLines/>
        <w:widowControl/>
        <w:spacing w:before="0" w:after="140" w:line="288" w:lineRule="exact"/>
        <w:ind w:left="0" w:firstLine="0" w:right="0"/>
        <w:jc w:val="left"/>
      </w:pPr>
      <w:r>
        <w:rPr>
          <w:rFonts w:ascii="Arial" w:hAnsi="Arial" w:eastAsia="Arial" w:cs="Arial"/>
          <w:color w:val="242424"/>
          <w:sz w:val="22"/>
          <w:szCs w:val="22"/>
        </w:rPr>
        <w:t>MOH projects the overall healthcare workforce to increase from 129,000 in 2024 to approximately 156,000 in 2030, including growth in community nursing.</w:t>
      </w:r>
      <w:hyperlink r:id="rId48">
        <w:r>
          <w:rPr>
            <w:rFonts w:ascii="Arial" w:hAnsi="Arial" w:eastAsia="Arial" w:cs="Arial"/>
            <w:vertAlign w:val="superscript"/>
            <w:color w:val="DC1E34"/>
            <w:sz w:val="16"/>
            <w:szCs w:val="16"/>
          </w:rPr>
          <w:t xml:space="preserve">31</w:t>
        </w:r>
      </w:hyperlink>
      <w:r>
        <w:rPr>
          <w:rFonts w:ascii="Arial" w:hAnsi="Arial" w:eastAsia="Arial" w:cs="Arial"/>
          <w:color w:val="242424"/>
          <w:sz w:val="22"/>
          <w:szCs w:val="22"/>
        </w:rPr>
        <w:t xml:space="preserve"> Hospital capacity in 2025 comprised 12,767 acute, 1,950 psychiatric and 2,579 community beds, or a calculated 2.83 beds per 1,000 total population; nursing-home beds are excluded.</w:t>
      </w:r>
      <w:hyperlink r:id="rId18">
        <w:r>
          <w:rPr>
            <w:rFonts w:ascii="Arial" w:hAnsi="Arial" w:eastAsia="Arial" w:cs="Arial"/>
            <w:vertAlign w:val="superscript"/>
            <w:color w:val="DC1E34"/>
            <w:sz w:val="16"/>
            <w:szCs w:val="16"/>
          </w:rPr>
          <w:t xml:space="preserve">3,</w:t>
        </w:r>
      </w:hyperlink>
      <w:hyperlink r:id="rId38">
        <w:r>
          <w:rPr>
            <w:rFonts w:ascii="Arial" w:hAnsi="Arial" w:eastAsia="Arial" w:cs="Arial"/>
            <w:vertAlign w:val="superscript"/>
            <w:color w:val="DC1E34"/>
            <w:sz w:val="16"/>
            <w:szCs w:val="16"/>
          </w:rPr>
          <w:t xml:space="preserve">19</w:t>
        </w:r>
      </w:hyperlink>
      <w:r>
        <w:rPr>
          <w:rFonts w:ascii="Arial" w:hAnsi="Arial" w:eastAsia="Arial" w:cs="Arial"/>
          <w:color w:val="242424"/>
          <w:sz w:val="22"/>
          <w:szCs w:val="22"/>
        </w:rPr>
        <w:t xml:space="preserve"> Definitions and care models should be considered before comparing this figure with the OECD hospital-bed average of 4.2 in 2023 or the nearest available year.</w:t>
      </w:r>
      <w:hyperlink r:id="rId45">
        <w:r>
          <w:rPr>
            <w:rFonts w:ascii="Arial" w:hAnsi="Arial" w:eastAsia="Arial" w:cs="Arial"/>
            <w:vertAlign w:val="superscript"/>
            <w:color w:val="DC1E34"/>
            <w:sz w:val="16"/>
            <w:szCs w:val="16"/>
          </w:rPr>
          <w:t xml:space="preserve">28</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Education</w:t>
      </w:r>
    </w:p>
    <w:p>
      <w:pPr>
        <w:keepLines/>
        <w:widowControl/>
        <w:spacing w:before="0" w:after="140" w:line="288" w:lineRule="exact"/>
        <w:ind w:left="0" w:firstLine="0" w:right="0"/>
        <w:jc w:val="left"/>
      </w:pPr>
      <w:r>
        <w:rPr>
          <w:rFonts w:ascii="Arial" w:hAnsi="Arial" w:eastAsia="Arial" w:cs="Arial"/>
          <w:color w:val="242424"/>
          <w:sz w:val="22"/>
          <w:szCs w:val="22"/>
        </w:rPr>
        <w:t>Singapore offers both undergraduate-entry and graduate-entry medical training.</w:t>
      </w:r>
      <w:hyperlink r:id="rId49">
        <w:r>
          <w:rPr>
            <w:rFonts w:ascii="Arial" w:hAnsi="Arial" w:eastAsia="Arial" w:cs="Arial"/>
            <w:vertAlign w:val="superscript"/>
            <w:color w:val="DC1E34"/>
            <w:sz w:val="16"/>
            <w:szCs w:val="16"/>
          </w:rPr>
          <w:t xml:space="preserve">32,</w:t>
        </w:r>
      </w:hyperlink>
      <w:hyperlink r:id="rId50">
        <w:r>
          <w:rPr>
            <w:rFonts w:ascii="Arial" w:hAnsi="Arial" w:eastAsia="Arial" w:cs="Arial"/>
            <w:vertAlign w:val="superscript"/>
            <w:color w:val="DC1E34"/>
            <w:sz w:val="16"/>
            <w:szCs w:val="16"/>
          </w:rPr>
          <w:t xml:space="preserve">33,</w:t>
        </w:r>
      </w:hyperlink>
      <w:hyperlink r:id="rId51">
        <w:r>
          <w:rPr>
            <w:rFonts w:ascii="Arial" w:hAnsi="Arial" w:eastAsia="Arial" w:cs="Arial"/>
            <w:vertAlign w:val="superscript"/>
            <w:color w:val="DC1E34"/>
            <w:sz w:val="16"/>
            <w:szCs w:val="16"/>
          </w:rPr>
          <w:t xml:space="preserve">34</w:t>
        </w:r>
      </w:hyperlink>
      <w:r>
        <w:rPr>
          <w:rFonts w:ascii="Arial" w:hAnsi="Arial" w:eastAsia="Arial" w:cs="Arial"/>
          <w:color w:val="242424"/>
          <w:sz w:val="22"/>
          <w:szCs w:val="22"/>
        </w:rPr>
        <w:t xml:space="preserve"> NUS Yong Loo Lin School of Medicine and NTU Lee Kong Chian School of Medicine each provide a five-year MBBS program.</w:t>
      </w:r>
      <w:hyperlink r:id="rId49">
        <w:r>
          <w:rPr>
            <w:rFonts w:ascii="Arial" w:hAnsi="Arial" w:eastAsia="Arial" w:cs="Arial"/>
            <w:vertAlign w:val="superscript"/>
            <w:color w:val="DC1E34"/>
            <w:sz w:val="16"/>
            <w:szCs w:val="16"/>
          </w:rPr>
          <w:t xml:space="preserve">32,</w:t>
        </w:r>
      </w:hyperlink>
      <w:hyperlink r:id="rId50">
        <w:r>
          <w:rPr>
            <w:rFonts w:ascii="Arial" w:hAnsi="Arial" w:eastAsia="Arial" w:cs="Arial"/>
            <w:vertAlign w:val="superscript"/>
            <w:color w:val="DC1E34"/>
            <w:sz w:val="16"/>
            <w:szCs w:val="16"/>
          </w:rPr>
          <w:t xml:space="preserve">33</w:t>
        </w:r>
      </w:hyperlink>
      <w:r>
        <w:rPr>
          <w:rFonts w:ascii="Arial" w:hAnsi="Arial" w:eastAsia="Arial" w:cs="Arial"/>
          <w:color w:val="242424"/>
          <w:sz w:val="22"/>
          <w:szCs w:val="22"/>
        </w:rPr>
        <w:t xml:space="preserve"> Duke-NUS offers a four-year graduate-entry MD jointly awarded by Duke University and NUS, with a substantial research and scholarship phase alongside clinical training.</w:t>
      </w:r>
      <w:hyperlink r:id="rId51">
        <w:r>
          <w:rPr>
            <w:rFonts w:ascii="Arial" w:hAnsi="Arial" w:eastAsia="Arial" w:cs="Arial"/>
            <w:vertAlign w:val="superscript"/>
            <w:color w:val="DC1E34"/>
            <w:sz w:val="16"/>
            <w:szCs w:val="16"/>
          </w:rPr>
          <w:t xml:space="preserve">34</w:t>
        </w:r>
      </w:hyperlink>
      <w:r>
        <w:rPr>
          <w:rFonts w:ascii="Arial" w:hAnsi="Arial" w:eastAsia="Arial" w:cs="Arial"/>
          <w:color w:val="242424"/>
          <w:sz w:val="22"/>
          <w:szCs w:val="22"/>
        </w:rPr>
        <w:t xml:space="preserve"> NTU now describes its MBBS as an NTU-awarded degree, so historical references to a jointly awarded Imperial degree should not be assumed to describe current admissions.</w:t>
      </w:r>
      <w:hyperlink r:id="rId50">
        <w:r>
          <w:rPr>
            <w:rFonts w:ascii="Arial" w:hAnsi="Arial" w:eastAsia="Arial" w:cs="Arial"/>
            <w:vertAlign w:val="superscript"/>
            <w:color w:val="DC1E34"/>
            <w:sz w:val="16"/>
            <w:szCs w:val="16"/>
          </w:rPr>
          <w:t xml:space="preserve">33</w:t>
        </w:r>
      </w:hyperlink>
    </w:p>
    <w:p>
      <w:pPr>
        <w:keepLines/>
        <w:widowControl/>
        <w:spacing w:before="0" w:after="140" w:line="288" w:lineRule="exact"/>
        <w:ind w:left="0" w:firstLine="0" w:right="0"/>
        <w:jc w:val="left"/>
      </w:pPr>
      <w:r>
        <w:rPr>
          <w:rFonts w:ascii="Arial" w:hAnsi="Arial" w:eastAsia="Arial" w:cs="Arial"/>
          <w:color w:val="242424"/>
          <w:sz w:val="22"/>
          <w:szCs w:val="22"/>
        </w:rPr>
        <w:t>The Singapore Medical Council permits eligible graduates under provisional registration to undertake 12 months of Postgraduate Year 1 training in approved hospitals.</w:t>
      </w:r>
      <w:hyperlink r:id="rId52">
        <w:r>
          <w:rPr>
            <w:rFonts w:ascii="Arial" w:hAnsi="Arial" w:eastAsia="Arial" w:cs="Arial"/>
            <w:vertAlign w:val="superscript"/>
            <w:color w:val="DC1E34"/>
            <w:sz w:val="16"/>
            <w:szCs w:val="16"/>
          </w:rPr>
          <w:t xml:space="preserve">35</w:t>
        </w:r>
      </w:hyperlink>
      <w:r>
        <w:rPr>
          <w:rFonts w:ascii="Arial" w:hAnsi="Arial" w:eastAsia="Arial" w:cs="Arial"/>
          <w:color w:val="242424"/>
          <w:sz w:val="22"/>
          <w:szCs w:val="22"/>
        </w:rPr>
        <w:t xml:space="preserve"> Applications proceed through an accredited local employer, and the route to full or conditional registration depends on the recognized qualification and fulfillment of the council’s conditions.</w:t>
      </w:r>
      <w:hyperlink r:id="rId52">
        <w:r>
          <w:rPr>
            <w:rFonts w:ascii="Arial" w:hAnsi="Arial" w:eastAsia="Arial" w:cs="Arial"/>
            <w:vertAlign w:val="superscript"/>
            <w:color w:val="DC1E34"/>
            <w:sz w:val="16"/>
            <w:szCs w:val="16"/>
          </w:rPr>
          <w:t xml:space="preserve">35</w:t>
        </w:r>
      </w:hyperlink>
      <w:r>
        <w:rPr>
          <w:rFonts w:ascii="Arial" w:hAnsi="Arial" w:eastAsia="Arial" w:cs="Arial"/>
          <w:color w:val="242424"/>
          <w:sz w:val="22"/>
          <w:szCs w:val="22"/>
        </w:rPr>
        <w:t xml:space="preserve"> NUS includes shared health-professional learning and digital and data literacy in its curriculum, while Duke-NUS integrates population health, patient safety and research experience.</w:t>
      </w:r>
      <w:hyperlink r:id="rId49">
        <w:r>
          <w:rPr>
            <w:rFonts w:ascii="Arial" w:hAnsi="Arial" w:eastAsia="Arial" w:cs="Arial"/>
            <w:vertAlign w:val="superscript"/>
            <w:color w:val="DC1E34"/>
            <w:sz w:val="16"/>
            <w:szCs w:val="16"/>
          </w:rPr>
          <w:t xml:space="preserve">32,</w:t>
        </w:r>
      </w:hyperlink>
      <w:hyperlink r:id="rId51">
        <w:r>
          <w:rPr>
            <w:rFonts w:ascii="Arial" w:hAnsi="Arial" w:eastAsia="Arial" w:cs="Arial"/>
            <w:vertAlign w:val="superscript"/>
            <w:color w:val="DC1E34"/>
            <w:sz w:val="16"/>
            <w:szCs w:val="16"/>
          </w:rPr>
          <w:t xml:space="preserve">34</w:t>
        </w:r>
      </w:hyperlink>
    </w:p>
    <w:p>
      <w:pPr>
        <w:pStyle w:val="Heading1"/>
        <w:keepNext/>
        <w:keepLines/>
        <w:widowControl/>
        <w:spacing w:before="0" w:after="260" w:line="500" w:lineRule="exact"/>
        <w:ind w:left="0" w:firstLine="0" w:right="0"/>
        <w:jc w:val="left"/>
      </w:pPr>
      <w:bookmarkStart w:id="744" w:name="market"/>
      <w:r>
        <w:rPr>
          <w:rFonts w:ascii="Arial" w:hAnsi="Arial" w:eastAsia="Arial" w:cs="Arial"/>
          <w:color w:val="DC1E34"/>
          <w:sz w:val="42"/>
          <w:szCs w:val="42"/>
          <w:b w:val="1"/>
        </w:rPr>
        <w:t>Competitive landscape</w:t>
      </w:r>
      <w:bookmarkEnd w:id="744"/>
    </w:p>
    <w:p>
      <w:pPr>
        <w:keepLines/>
        <w:widowControl/>
        <w:spacing w:before="0" w:after="140" w:line="288" w:lineRule="exact"/>
        <w:ind w:left="0" w:firstLine="0" w:right="0"/>
        <w:jc w:val="left"/>
      </w:pPr>
      <w:r>
        <w:rPr>
          <w:rFonts w:ascii="Arial" w:hAnsi="Arial" w:eastAsia="Arial" w:cs="Arial"/>
          <w:color w:val="242424"/>
          <w:sz w:val="22"/>
          <w:szCs w:val="22"/>
        </w:rPr>
        <w:t>Singapore’s institutional landscape combines three public healthcare clusters with private hospitals serving local and international patients.</w:t>
      </w:r>
      <w:hyperlink r:id="rId26">
        <w:r>
          <w:rPr>
            <w:rFonts w:ascii="Arial" w:hAnsi="Arial" w:eastAsia="Arial" w:cs="Arial"/>
            <w:vertAlign w:val="superscript"/>
            <w:color w:val="DC1E34"/>
            <w:sz w:val="16"/>
            <w:szCs w:val="16"/>
          </w:rPr>
          <w:t xml:space="preserve">11,</w:t>
        </w:r>
      </w:hyperlink>
      <w:hyperlink r:id="rId41">
        <w:r>
          <w:rPr>
            <w:rFonts w:ascii="Arial" w:hAnsi="Arial" w:eastAsia="Arial" w:cs="Arial"/>
            <w:vertAlign w:val="superscript"/>
            <w:color w:val="DC1E34"/>
            <w:sz w:val="16"/>
            <w:szCs w:val="16"/>
          </w:rPr>
          <w:t xml:space="preserve">24</w:t>
        </w:r>
      </w:hyperlink>
      <w:r>
        <w:rPr>
          <w:rFonts w:ascii="Arial" w:hAnsi="Arial" w:eastAsia="Arial" w:cs="Arial"/>
          <w:color w:val="242424"/>
          <w:sz w:val="22"/>
          <w:szCs w:val="22"/>
        </w:rPr>
        <w:t xml:space="preserve"> International academic links include the Duke-NUS medical school partnership and a 2025 cardiovascular research MOU between Mayo Clinic and National Heart Centre Singapore.</w:t>
      </w:r>
      <w:hyperlink r:id="rId53">
        <w:r>
          <w:rPr>
            <w:rFonts w:ascii="Arial" w:hAnsi="Arial" w:eastAsia="Arial" w:cs="Arial"/>
            <w:vertAlign w:val="superscript"/>
            <w:color w:val="DC1E34"/>
            <w:sz w:val="16"/>
            <w:szCs w:val="16"/>
          </w:rPr>
          <w:t xml:space="preserve">38,</w:t>
        </w:r>
      </w:hyperlink>
      <w:hyperlink r:id="rId54">
        <w:r>
          <w:rPr>
            <w:rFonts w:ascii="Arial" w:hAnsi="Arial" w:eastAsia="Arial" w:cs="Arial"/>
            <w:vertAlign w:val="superscript"/>
            <w:color w:val="DC1E34"/>
            <w:sz w:val="16"/>
            <w:szCs w:val="16"/>
          </w:rPr>
          <w:t xml:space="preserve">39</w:t>
        </w:r>
      </w:hyperlink>
      <w:r>
        <w:rPr>
          <w:rFonts w:ascii="Arial" w:hAnsi="Arial" w:eastAsia="Arial" w:cs="Arial"/>
          <w:color w:val="242424"/>
          <w:sz w:val="22"/>
          <w:szCs w:val="22"/>
        </w:rPr>
        <w:t xml:space="preserve"> These relationships span education, translational research and specialist knowledge exchange.</w:t>
      </w:r>
      <w:hyperlink r:id="rId53">
        <w:r>
          <w:rPr>
            <w:rFonts w:ascii="Arial" w:hAnsi="Arial" w:eastAsia="Arial" w:cs="Arial"/>
            <w:vertAlign w:val="superscript"/>
            <w:color w:val="DC1E34"/>
            <w:sz w:val="16"/>
            <w:szCs w:val="16"/>
          </w:rPr>
          <w:t xml:space="preserve">38,</w:t>
        </w:r>
      </w:hyperlink>
      <w:hyperlink r:id="rId54">
        <w:r>
          <w:rPr>
            <w:rFonts w:ascii="Arial" w:hAnsi="Arial" w:eastAsia="Arial" w:cs="Arial"/>
            <w:vertAlign w:val="superscript"/>
            <w:color w:val="DC1E34"/>
            <w:sz w:val="16"/>
            <w:szCs w:val="16"/>
          </w:rPr>
          <w:t xml:space="preserve">39</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International institutional collaboration</w:t>
      </w:r>
    </w:p>
    <w:p>
      <w:pPr>
        <w:keepNext/>
        <w:spacing w:after="120" w:before="60" w:line="240" w:lineRule="auto"/>
        <w:ind w:left="0" w:firstLine="0" w:right="0"/>
      </w:pPr>
      <w:r>
        <w:drawing>
          <wp:inline xmlns:a="http://schemas.openxmlformats.org/drawingml/2006/main" xmlns:pic="http://schemas.openxmlformats.org/drawingml/2006/picture" distL="0" distR="0" distT="0" distB="0">
            <wp:extent cx="6400800" cy="2788920"/>
            <wp:effectExtent l="0" t="0" r="0" b="0"/>
            <wp:docPr id="2" name="Picture 2"/>
            <wp:cNvGraphicFramePr>
              <a:graphicFrameLocks noChangeAspect="1"/>
            </wp:cNvGraphicFramePr>
            <a:graphic>
              <a:graphicData uri="http://schemas.openxmlformats.org/drawingml/2006/picture">
                <pic:pic>
                  <pic:nvPicPr>
                    <pic:cNvPr id="0" name="Singapore_partnerships_map.png"/>
                    <pic:cNvPicPr/>
                  </pic:nvPicPr>
                  <pic:blipFill>
                    <a:blip r:embed="rId55"/>
                    <a:stretch>
                      <a:fillRect/>
                    </a:stretch>
                  </pic:blipFill>
                  <pic:spPr>
                    <a:xfrm>
                      <a:off x="0" y="0"/>
                      <a:ext cx="6400800" cy="2788920"/>
                    </a:xfrm>
                    <a:prstGeom prst="rect"/>
                  </pic:spPr>
                </pic:pic>
              </a:graphicData>
            </a:graphic>
          </wp:inline>
        </w:drawing>
      </w:r>
    </w:p>
    <w:p>
      <w:pPr>
        <w:keepLines/>
        <w:widowControl/>
        <w:spacing w:before="0" w:after="160" w:line="228" w:lineRule="exact"/>
        <w:ind w:left="0" w:firstLine="0" w:right="0"/>
        <w:jc w:val="left"/>
      </w:pPr>
      <w:r>
        <w:rPr>
          <w:rFonts w:ascii="Arial" w:hAnsi="Arial" w:eastAsia="Arial" w:cs="Arial"/>
          <w:color w:val="616161"/>
          <w:sz w:val="18"/>
          <w:szCs w:val="18"/>
        </w:rPr>
        <w:t>Active external institutional collaborations, reviewed 7 October 2026. Directory totals exclude Cedars-Sinai. Map: Natural Earth, public domain. Counts describe relationships in the country, not hospital ownership or facility locations.</w:t>
      </w:r>
    </w:p>
    <w:p>
      <w:pPr>
        <w:keepLines/>
        <w:widowControl/>
        <w:spacing w:before="0" w:after="140" w:line="288" w:lineRule="exact"/>
        <w:ind w:left="0" w:firstLine="0" w:right="0"/>
        <w:jc w:val="left"/>
      </w:pPr>
      <w:r>
        <w:rPr>
          <w:rFonts w:ascii="Arial" w:hAnsi="Arial" w:eastAsia="Arial" w:cs="Arial"/>
          <w:color w:val="242424"/>
          <w:sz w:val="22"/>
          <w:szCs w:val="22"/>
        </w:rPr>
        <w:t>Singapore also competes for international patients: Raffles Hospital provides clinical appointment support and non-medical assistance for overseas visitors.</w:t>
      </w:r>
      <w:hyperlink r:id="rId41">
        <w:r>
          <w:rPr>
            <w:rFonts w:ascii="Arial" w:hAnsi="Arial" w:eastAsia="Arial" w:cs="Arial"/>
            <w:vertAlign w:val="superscript"/>
            <w:color w:val="DC1E34"/>
            <w:sz w:val="16"/>
            <w:szCs w:val="16"/>
          </w:rPr>
          <w:t xml:space="preserve">24</w:t>
        </w:r>
      </w:hyperlink>
    </w:p>
    <w:p>
      <w:pPr>
        <w:keepLines/>
        <w:widowControl/>
        <w:spacing w:before="0" w:after="140" w:line="288" w:lineRule="exact"/>
        <w:ind w:left="0" w:firstLine="0" w:right="0"/>
        <w:jc w:val="left"/>
      </w:pPr>
      <w:r>
        <w:rPr>
          <w:rFonts w:ascii="Arial" w:hAnsi="Arial" w:eastAsia="Arial" w:cs="Arial"/>
          <w:color w:val="242424"/>
          <w:sz w:val="22"/>
          <w:szCs w:val="22"/>
        </w:rPr>
        <w:t>Public Cedars-Sinai research collaboration: Guerin Children’s participates with Cambridge and Singapore’s A*STAR in the BLOOMS neonatal genomics study.</w:t>
      </w:r>
      <w:hyperlink r:id="rId56">
        <w:r>
          <w:rPr>
            <w:rFonts w:ascii="Arial" w:hAnsi="Arial" w:eastAsia="Arial" w:cs="Arial"/>
            <w:vertAlign w:val="superscript"/>
            <w:color w:val="DC1E34"/>
            <w:sz w:val="16"/>
            <w:szCs w:val="16"/>
          </w:rPr>
          <w:t xml:space="preserve">40</w:t>
        </w:r>
      </w:hyperlink>
      <w:r>
        <w:rPr>
          <w:rFonts w:ascii="Arial" w:hAnsi="Arial" w:eastAsia="Arial" w:cs="Arial"/>
          <w:color w:val="242424"/>
          <w:sz w:val="22"/>
          <w:szCs w:val="22"/>
        </w:rPr>
        <w:t xml:space="preserve"> A*STAR contributes secure analytics; the announced infant recruitment sites are in the United States and United Kingdom.</w:t>
      </w:r>
      <w:hyperlink r:id="rId56">
        <w:r>
          <w:rPr>
            <w:rFonts w:ascii="Arial" w:hAnsi="Arial" w:eastAsia="Arial" w:cs="Arial"/>
            <w:vertAlign w:val="superscript"/>
            <w:color w:val="DC1E34"/>
            <w:sz w:val="16"/>
            <w:szCs w:val="16"/>
          </w:rPr>
          <w:t xml:space="preserve">40</w:t>
        </w:r>
      </w:hyperlink>
      <w:r>
        <w:rPr>
          <w:rFonts w:ascii="Arial" w:hAnsi="Arial" w:eastAsia="Arial" w:cs="Arial"/>
          <w:color w:val="242424"/>
          <w:sz w:val="22"/>
          <w:szCs w:val="22"/>
        </w:rPr>
        <w:t xml:space="preserve"> This is Cedars-Sinai’s own institutional research activity, separate from the competing institutions listed here.</w:t>
      </w:r>
    </w:p>
    <w:p>
      <w:pPr>
        <w:pStyle w:val="Heading1"/>
        <w:keepNext/>
        <w:keepLines/>
        <w:widowControl/>
        <w:spacing w:before="0" w:after="260" w:line="500" w:lineRule="exact"/>
        <w:ind w:left="0" w:firstLine="0" w:right="0"/>
        <w:jc w:val="left"/>
      </w:pPr>
      <w:bookmarkStart w:id="1081" w:name="directory"/>
      <w:r>
        <w:rPr>
          <w:rFonts w:ascii="Arial" w:hAnsi="Arial" w:eastAsia="Arial" w:cs="Arial"/>
          <w:color w:val="DC1E34"/>
          <w:sz w:val="42"/>
          <w:szCs w:val="42"/>
          <w:b w:val="1"/>
        </w:rPr>
        <w:t>Institution directory</w:t>
      </w:r>
      <w:bookmarkEnd w:id="1081"/>
    </w:p>
    <w:p>
      <w:pPr>
        <w:keepLines/>
        <w:widowControl/>
        <w:spacing w:before="0" w:after="160" w:line="228" w:lineRule="exact"/>
        <w:ind w:left="0" w:firstLine="0" w:right="0"/>
        <w:jc w:val="left"/>
      </w:pPr>
      <w:r>
        <w:rPr>
          <w:rFonts w:ascii="Arial" w:hAnsi="Arial" w:eastAsia="Arial" w:cs="Arial"/>
          <w:color w:val="616161"/>
          <w:sz w:val="18"/>
          <w:szCs w:val="18"/>
        </w:rPr>
        <w:t>Institutions 1 to 12 of 21 with dated evidence of active collaboration. Evidence dates do not establish contract expiration dates.</w:t>
      </w:r>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92"/>
        <w:gridCol w:w="4104"/>
        <w:gridCol w:w="1584"/>
      </w:tblGrid>
      <w:tr>
        <w:trPr>
          <w:tblHeader/>
          <w:cantSplit/>
        </w:trPr>
        <w:tc>
          <w:tcPr>
            <w:tcW w:type="dxa" w:w="4392"/>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Institution and location</w:t>
            </w:r>
          </w:p>
        </w:tc>
        <w:tc>
          <w:tcPr>
            <w:tcW w:type="dxa" w:w="410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Nature of collaboration</w:t>
            </w:r>
          </w:p>
        </w:tc>
        <w:tc>
          <w:tcPr>
            <w:tcW w:type="dxa" w:w="158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Evidence</w:t>
            </w:r>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Duke University School of Medicine</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Research collaboration, 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2025-07</w:t>
            </w:r>
            <w:hyperlink r:id="rId53">
              <w:r>
                <w:rPr>
                  <w:rFonts w:ascii="Arial" w:hAnsi="Arial" w:eastAsia="Arial" w:cs="Arial"/>
                  <w:vertAlign w:val="superscript"/>
                  <w:color w:val="DC1E34"/>
                  <w:sz w:val="16"/>
                  <w:szCs w:val="16"/>
                </w:rPr>
                <w:t xml:space="preserve">38,</w:t>
              </w:r>
            </w:hyperlink>
            <w:hyperlink r:id="rId57">
              <w:r>
                <w:rPr>
                  <w:rFonts w:ascii="Arial" w:hAnsi="Arial" w:eastAsia="Arial" w:cs="Arial"/>
                  <w:vertAlign w:val="superscript"/>
                  <w:color w:val="DC1E34"/>
                  <w:sz w:val="16"/>
                  <w:szCs w:val="16"/>
                </w:rPr>
                <w:t xml:space="preserve">41,</w:t>
              </w:r>
            </w:hyperlink>
            <w:hyperlink r:id="rId58">
              <w:r>
                <w:rPr>
                  <w:rFonts w:ascii="Arial" w:hAnsi="Arial" w:eastAsia="Arial" w:cs="Arial"/>
                  <w:vertAlign w:val="superscript"/>
                  <w:color w:val="DC1E34"/>
                  <w:sz w:val="16"/>
                  <w:szCs w:val="16"/>
                </w:rPr>
                <w:t xml:space="preserve">42</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Harvard University (Harvard T.H. Chan School of Public Health)</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Research collaboration, 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2026-09</w:t>
            </w:r>
            <w:hyperlink r:id="rId59">
              <w:r>
                <w:rPr>
                  <w:rFonts w:ascii="Arial" w:hAnsi="Arial" w:eastAsia="Arial" w:cs="Arial"/>
                  <w:vertAlign w:val="superscript"/>
                  <w:color w:val="DC1E34"/>
                  <w:sz w:val="16"/>
                  <w:szCs w:val="16"/>
                </w:rPr>
                <w:t xml:space="preserve">43,</w:t>
              </w:r>
            </w:hyperlink>
            <w:hyperlink r:id="rId60">
              <w:r>
                <w:rPr>
                  <w:rFonts w:ascii="Arial" w:hAnsi="Arial" w:eastAsia="Arial" w:cs="Arial"/>
                  <w:vertAlign w:val="superscript"/>
                  <w:color w:val="DC1E34"/>
                  <w:sz w:val="16"/>
                  <w:szCs w:val="16"/>
                </w:rPr>
                <w:t xml:space="preserve">44</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Johns Hopkins Health System</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hyperlink r:id="rId62">
              <w:r>
                <w:rPr>
                  <w:rFonts w:ascii="Arial" w:hAnsi="Arial" w:eastAsia="Arial" w:cs="Arial"/>
                  <w:vertAlign w:val="superscript"/>
                  <w:color w:val="DC1E34"/>
                  <w:sz w:val="16"/>
                  <w:szCs w:val="16"/>
                </w:rPr>
                <w:t xml:space="preserve">46</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Mayo Clinic</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Research collaboration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2025-06</w:t>
            </w:r>
            <w:hyperlink r:id="rId54">
              <w:r>
                <w:rPr>
                  <w:rFonts w:ascii="Arial" w:hAnsi="Arial" w:eastAsia="Arial" w:cs="Arial"/>
                  <w:vertAlign w:val="superscript"/>
                  <w:color w:val="DC1E34"/>
                  <w:sz w:val="16"/>
                  <w:szCs w:val="16"/>
                </w:rPr>
                <w:t xml:space="preserve">39</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Methodist Le Bonheur Healthcare</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3">
              <w:r>
                <w:rPr>
                  <w:rFonts w:ascii="Arial" w:hAnsi="Arial" w:eastAsia="Arial" w:cs="Arial"/>
                  <w:vertAlign w:val="superscript"/>
                  <w:color w:val="DC1E34"/>
                  <w:sz w:val="16"/>
                  <w:szCs w:val="16"/>
                </w:rPr>
                <w:t xml:space="preserve">47</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Michigan Medicine (University of Michigan)</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Research collaboration, 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2025-12</w:t>
            </w:r>
            <w:hyperlink r:id="rId64">
              <w:r>
                <w:rPr>
                  <w:rFonts w:ascii="Arial" w:hAnsi="Arial" w:eastAsia="Arial" w:cs="Arial"/>
                  <w:vertAlign w:val="superscript"/>
                  <w:color w:val="DC1E34"/>
                  <w:sz w:val="16"/>
                  <w:szCs w:val="16"/>
                </w:rPr>
                <w:t xml:space="preserve">48,</w:t>
              </w:r>
            </w:hyperlink>
            <w:hyperlink r:id="rId65">
              <w:r>
                <w:rPr>
                  <w:rFonts w:ascii="Arial" w:hAnsi="Arial" w:eastAsia="Arial" w:cs="Arial"/>
                  <w:vertAlign w:val="superscript"/>
                  <w:color w:val="DC1E34"/>
                  <w:sz w:val="16"/>
                  <w:szCs w:val="16"/>
                </w:rPr>
                <w:t xml:space="preserve">49,</w:t>
              </w:r>
            </w:hyperlink>
            <w:hyperlink r:id="rId66">
              <w:r>
                <w:rPr>
                  <w:rFonts w:ascii="Arial" w:hAnsi="Arial" w:eastAsia="Arial" w:cs="Arial"/>
                  <w:vertAlign w:val="superscript"/>
                  <w:color w:val="DC1E34"/>
                  <w:sz w:val="16"/>
                  <w:szCs w:val="16"/>
                </w:rPr>
                <w:t xml:space="preserve">50,</w:t>
              </w:r>
            </w:hyperlink>
            <w:hyperlink r:id="rId67">
              <w:r>
                <w:rPr>
                  <w:rFonts w:ascii="Arial" w:hAnsi="Arial" w:eastAsia="Arial" w:cs="Arial"/>
                  <w:vertAlign w:val="superscript"/>
                  <w:color w:val="DC1E34"/>
                  <w:sz w:val="16"/>
                  <w:szCs w:val="16"/>
                </w:rPr>
                <w:t xml:space="preserve">51</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Mount Sinai Health System</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2024-11</w:t>
            </w:r>
            <w:hyperlink r:id="rId68">
              <w:r>
                <w:rPr>
                  <w:rFonts w:ascii="Arial" w:hAnsi="Arial" w:eastAsia="Arial" w:cs="Arial"/>
                  <w:vertAlign w:val="superscript"/>
                  <w:color w:val="DC1E34"/>
                  <w:sz w:val="16"/>
                  <w:szCs w:val="16"/>
                </w:rPr>
                <w:t xml:space="preserve">52,</w:t>
              </w:r>
            </w:hyperlink>
            <w:hyperlink r:id="rId69">
              <w:r>
                <w:rPr>
                  <w:rFonts w:ascii="Arial" w:hAnsi="Arial" w:eastAsia="Arial" w:cs="Arial"/>
                  <w:vertAlign w:val="superscript"/>
                  <w:color w:val="DC1E34"/>
                  <w:sz w:val="16"/>
                  <w:szCs w:val="16"/>
                </w:rPr>
                <w:t xml:space="preserve">53,</w:t>
              </w:r>
            </w:hyperlink>
            <w:hyperlink r:id="rId70">
              <w:r>
                <w:rPr>
                  <w:rFonts w:ascii="Arial" w:hAnsi="Arial" w:eastAsia="Arial" w:cs="Arial"/>
                  <w:vertAlign w:val="superscript"/>
                  <w:color w:val="DC1E34"/>
                  <w:sz w:val="16"/>
                  <w:szCs w:val="16"/>
                </w:rPr>
                <w:t xml:space="preserve">54</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NYC Health + Hospitals</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3">
              <w:r>
                <w:rPr>
                  <w:rFonts w:ascii="Arial" w:hAnsi="Arial" w:eastAsia="Arial" w:cs="Arial"/>
                  <w:vertAlign w:val="superscript"/>
                  <w:color w:val="DC1E34"/>
                  <w:sz w:val="16"/>
                  <w:szCs w:val="16"/>
                </w:rPr>
                <w:t xml:space="preserve">47</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Northwell Health</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3">
              <w:r>
                <w:rPr>
                  <w:rFonts w:ascii="Arial" w:hAnsi="Arial" w:eastAsia="Arial" w:cs="Arial"/>
                  <w:vertAlign w:val="superscript"/>
                  <w:color w:val="DC1E34"/>
                  <w:sz w:val="16"/>
                  <w:szCs w:val="16"/>
                </w:rPr>
                <w:t xml:space="preserve">47</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Stanford Health Care</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Stanford Medicine</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Research collaboration, 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2024-11</w:t>
            </w:r>
            <w:hyperlink r:id="rId71">
              <w:r>
                <w:rPr>
                  <w:rFonts w:ascii="Arial" w:hAnsi="Arial" w:eastAsia="Arial" w:cs="Arial"/>
                  <w:vertAlign w:val="superscript"/>
                  <w:color w:val="DC1E34"/>
                  <w:sz w:val="16"/>
                  <w:szCs w:val="16"/>
                </w:rPr>
                <w:t xml:space="preserve">55,</w:t>
              </w:r>
            </w:hyperlink>
            <w:hyperlink r:id="rId72">
              <w:r>
                <w:rPr>
                  <w:rFonts w:ascii="Arial" w:hAnsi="Arial" w:eastAsia="Arial" w:cs="Arial"/>
                  <w:vertAlign w:val="superscript"/>
                  <w:color w:val="DC1E34"/>
                  <w:sz w:val="16"/>
                  <w:szCs w:val="16"/>
                </w:rPr>
                <w:t xml:space="preserve">56,</w:t>
              </w:r>
            </w:hyperlink>
            <w:hyperlink r:id="rId73">
              <w:r>
                <w:rPr>
                  <w:rFonts w:ascii="Arial" w:hAnsi="Arial" w:eastAsia="Arial" w:cs="Arial"/>
                  <w:vertAlign w:val="superscript"/>
                  <w:color w:val="DC1E34"/>
                  <w:sz w:val="16"/>
                  <w:szCs w:val="16"/>
                </w:rPr>
                <w:t xml:space="preserve">57,</w:t>
              </w:r>
            </w:hyperlink>
            <w:hyperlink r:id="rId74">
              <w:r>
                <w:rPr>
                  <w:rFonts w:ascii="Arial" w:hAnsi="Arial" w:eastAsia="Arial" w:cs="Arial"/>
                  <w:vertAlign w:val="superscript"/>
                  <w:color w:val="DC1E34"/>
                  <w:sz w:val="16"/>
                  <w:szCs w:val="16"/>
                </w:rPr>
                <w:t xml:space="preserve">58</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Beijing Tsinghua Changgung Hospital</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hyperlink r:id="rId75">
              <w:r>
                <w:rPr>
                  <w:rFonts w:ascii="Arial" w:hAnsi="Arial" w:eastAsia="Arial" w:cs="Arial"/>
                  <w:vertAlign w:val="superscript"/>
                  <w:color w:val="DC1E34"/>
                  <w:sz w:val="16"/>
                  <w:szCs w:val="16"/>
                </w:rPr>
                <w:t xml:space="preserve">59</w:t>
              </w:r>
            </w:hyperlink>
          </w:p>
        </w:tc>
      </w:tr>
    </w:tbl>
    <w:p>
      <w:pPr>
        <w:widowControl/>
        <w:spacing w:before="0" w:after="60" w:line="40" w:lineRule="exact"/>
        <w:ind w:left="0" w:firstLine="0" w:right="0"/>
        <w:jc w:val="left"/>
      </w:pP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Institution directory continued</w:t>
      </w:r>
    </w:p>
    <w:p>
      <w:pPr>
        <w:keepLines/>
        <w:widowControl/>
        <w:spacing w:before="0" w:after="160" w:line="228" w:lineRule="exact"/>
        <w:ind w:left="0" w:firstLine="0" w:right="0"/>
        <w:jc w:val="left"/>
      </w:pPr>
      <w:r>
        <w:rPr>
          <w:rFonts w:ascii="Arial" w:hAnsi="Arial" w:eastAsia="Arial" w:cs="Arial"/>
          <w:color w:val="616161"/>
          <w:sz w:val="18"/>
          <w:szCs w:val="18"/>
        </w:rPr>
        <w:t>Institutions 13 to 21 of 21 with dated evidence of active collaboration. Evidence dates do not establish contract expiration dates.</w:t>
      </w:r>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92"/>
        <w:gridCol w:w="4104"/>
        <w:gridCol w:w="1584"/>
      </w:tblGrid>
      <w:tr>
        <w:trPr>
          <w:tblHeader/>
          <w:cantSplit/>
        </w:trPr>
        <w:tc>
          <w:tcPr>
            <w:tcW w:type="dxa" w:w="4392"/>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Institution and location</w:t>
            </w:r>
          </w:p>
        </w:tc>
        <w:tc>
          <w:tcPr>
            <w:tcW w:type="dxa" w:w="410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Nature of collaboration</w:t>
            </w:r>
          </w:p>
        </w:tc>
        <w:tc>
          <w:tcPr>
            <w:tcW w:type="dxa" w:w="158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Evidence</w:t>
            </w:r>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CUHK Medical Centre</w:t>
            </w:r>
          </w:p>
          <w:p>
            <w:pPr>
              <w:keepLines/>
              <w:widowControl/>
              <w:spacing w:before="0" w:after="0" w:line="220" w:lineRule="exact"/>
              <w:ind w:left="0" w:right="0" w:firstLine="0"/>
              <w:jc w:val="left"/>
            </w:pPr>
            <w:r>
              <w:rPr>
                <w:rFonts w:ascii="Arial" w:hAnsi="Arial" w:eastAsia="Arial" w:cs="Arial"/>
                <w:color w:val="616161"/>
                <w:sz w:val="18"/>
                <w:szCs w:val="18"/>
              </w:rPr>
              <w:t>Hong Kong, China</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hyperlink r:id="rId75">
              <w:r>
                <w:rPr>
                  <w:rFonts w:ascii="Arial" w:hAnsi="Arial" w:eastAsia="Arial" w:cs="Arial"/>
                  <w:vertAlign w:val="superscript"/>
                  <w:color w:val="DC1E34"/>
                  <w:sz w:val="16"/>
                  <w:szCs w:val="16"/>
                </w:rPr>
                <w:t xml:space="preserve">59</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Imperial College London</w:t>
            </w:r>
          </w:p>
          <w:p>
            <w:pPr>
              <w:keepLines/>
              <w:widowControl/>
              <w:spacing w:before="0" w:after="0" w:line="220" w:lineRule="exact"/>
              <w:ind w:left="0" w:right="0" w:firstLine="0"/>
              <w:jc w:val="left"/>
            </w:pPr>
            <w:r>
              <w:rPr>
                <w:rFonts w:ascii="Arial" w:hAnsi="Arial" w:eastAsia="Arial" w:cs="Arial"/>
                <w:color w:val="616161"/>
                <w:sz w:val="18"/>
                <w:szCs w:val="18"/>
              </w:rPr>
              <w:t>United Kingdom</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2025-06</w:t>
            </w:r>
            <w:hyperlink r:id="rId76">
              <w:r>
                <w:rPr>
                  <w:rFonts w:ascii="Arial" w:hAnsi="Arial" w:eastAsia="Arial" w:cs="Arial"/>
                  <w:vertAlign w:val="superscript"/>
                  <w:color w:val="DC1E34"/>
                  <w:sz w:val="16"/>
                  <w:szCs w:val="16"/>
                </w:rPr>
                <w:t xml:space="preserve">60,</w:t>
              </w:r>
            </w:hyperlink>
            <w:hyperlink r:id="rId77">
              <w:r>
                <w:rPr>
                  <w:rFonts w:ascii="Arial" w:hAnsi="Arial" w:eastAsia="Arial" w:cs="Arial"/>
                  <w:vertAlign w:val="superscript"/>
                  <w:color w:val="DC1E34"/>
                  <w:sz w:val="16"/>
                  <w:szCs w:val="16"/>
                </w:rPr>
                <w:t xml:space="preserve">61</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Karolinska University Hospital</w:t>
            </w:r>
          </w:p>
          <w:p>
            <w:pPr>
              <w:keepLines/>
              <w:widowControl/>
              <w:spacing w:before="0" w:after="0" w:line="220" w:lineRule="exact"/>
              <w:ind w:left="0" w:right="0" w:firstLine="0"/>
              <w:jc w:val="left"/>
            </w:pPr>
            <w:r>
              <w:rPr>
                <w:rFonts w:ascii="Arial" w:hAnsi="Arial" w:eastAsia="Arial" w:cs="Arial"/>
                <w:color w:val="616161"/>
                <w:sz w:val="18"/>
                <w:szCs w:val="18"/>
              </w:rPr>
              <w:t>Sweden</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hyperlink r:id="rId75">
              <w:r>
                <w:rPr>
                  <w:rFonts w:ascii="Arial" w:hAnsi="Arial" w:eastAsia="Arial" w:cs="Arial"/>
                  <w:vertAlign w:val="superscript"/>
                  <w:color w:val="DC1E34"/>
                  <w:sz w:val="16"/>
                  <w:szCs w:val="16"/>
                </w:rPr>
                <w:t xml:space="preserve">59,</w:t>
              </w:r>
            </w:hyperlink>
            <w:hyperlink r:id="rId78">
              <w:r>
                <w:rPr>
                  <w:rFonts w:ascii="Arial" w:hAnsi="Arial" w:eastAsia="Arial" w:cs="Arial"/>
                  <w:vertAlign w:val="superscript"/>
                  <w:color w:val="DC1E34"/>
                  <w:sz w:val="16"/>
                  <w:szCs w:val="16"/>
                </w:rPr>
                <w:t xml:space="preserve">62</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National Cancer Center Japan</w:t>
            </w:r>
          </w:p>
          <w:p>
            <w:pPr>
              <w:keepLines/>
              <w:widowControl/>
              <w:spacing w:before="0" w:after="0" w:line="220" w:lineRule="exact"/>
              <w:ind w:left="0" w:right="0" w:firstLine="0"/>
              <w:jc w:val="left"/>
            </w:pPr>
            <w:r>
              <w:rPr>
                <w:rFonts w:ascii="Arial" w:hAnsi="Arial" w:eastAsia="Arial" w:cs="Arial"/>
                <w:color w:val="616161"/>
                <w:sz w:val="18"/>
                <w:szCs w:val="18"/>
              </w:rPr>
              <w:t>Japan</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Research collaboration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2026-07</w:t>
            </w:r>
            <w:hyperlink r:id="rId79">
              <w:r>
                <w:rPr>
                  <w:rFonts w:ascii="Arial" w:hAnsi="Arial" w:eastAsia="Arial" w:cs="Arial"/>
                  <w:vertAlign w:val="superscript"/>
                  <w:color w:val="DC1E34"/>
                  <w:sz w:val="16"/>
                  <w:szCs w:val="16"/>
                </w:rPr>
                <w:t xml:space="preserve">63</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Ruijin Hospital (Shanghai Jiao Tong University School of Medicine)</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Research collaboration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2025-10</w:t>
            </w:r>
            <w:hyperlink r:id="rId80">
              <w:r>
                <w:rPr>
                  <w:rFonts w:ascii="Arial" w:hAnsi="Arial" w:eastAsia="Arial" w:cs="Arial"/>
                  <w:vertAlign w:val="superscript"/>
                  <w:color w:val="DC1E34"/>
                  <w:sz w:val="16"/>
                  <w:szCs w:val="16"/>
                </w:rPr>
                <w:t xml:space="preserve">64</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Shanghai Jiao Tong University School of Medicine</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2024-12</w:t>
            </w:r>
            <w:hyperlink r:id="rId81">
              <w:r>
                <w:rPr>
                  <w:rFonts w:ascii="Arial" w:hAnsi="Arial" w:eastAsia="Arial" w:cs="Arial"/>
                  <w:vertAlign w:val="superscript"/>
                  <w:color w:val="DC1E34"/>
                  <w:sz w:val="16"/>
                  <w:szCs w:val="16"/>
                </w:rPr>
                <w:t xml:space="preserve">65</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University Health Network</w:t>
            </w:r>
          </w:p>
          <w:p>
            <w:pPr>
              <w:keepLines/>
              <w:widowControl/>
              <w:spacing w:before="0" w:after="0" w:line="220" w:lineRule="exact"/>
              <w:ind w:left="0" w:right="0" w:firstLine="0"/>
              <w:jc w:val="left"/>
            </w:pPr>
            <w:r>
              <w:rPr>
                <w:rFonts w:ascii="Arial" w:hAnsi="Arial" w:eastAsia="Arial" w:cs="Arial"/>
                <w:color w:val="616161"/>
                <w:sz w:val="18"/>
                <w:szCs w:val="18"/>
              </w:rPr>
              <w:t>Canada</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Training and education</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2026-08</w:t>
            </w:r>
            <w:hyperlink r:id="rId61">
              <w:r>
                <w:rPr>
                  <w:rFonts w:ascii="Arial" w:hAnsi="Arial" w:eastAsia="Arial" w:cs="Arial"/>
                  <w:vertAlign w:val="superscript"/>
                  <w:color w:val="DC1E34"/>
                  <w:sz w:val="16"/>
                  <w:szCs w:val="16"/>
                </w:rPr>
                <w:t xml:space="preserve">45,</w:t>
              </w:r>
            </w:hyperlink>
            <w:hyperlink r:id="rId75">
              <w:r>
                <w:rPr>
                  <w:rFonts w:ascii="Arial" w:hAnsi="Arial" w:eastAsia="Arial" w:cs="Arial"/>
                  <w:vertAlign w:val="superscript"/>
                  <w:color w:val="DC1E34"/>
                  <w:sz w:val="16"/>
                  <w:szCs w:val="16"/>
                </w:rPr>
                <w:t xml:space="preserve">59</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42424"/>
                <w:sz w:val="20"/>
                <w:szCs w:val="20"/>
              </w:rPr>
              <w:t>University of Cambridge School of Clinical Medicine</w:t>
            </w:r>
          </w:p>
          <w:p>
            <w:pPr>
              <w:keepLines/>
              <w:widowControl/>
              <w:spacing w:before="0" w:after="0" w:line="220" w:lineRule="exact"/>
              <w:ind w:left="0" w:right="0" w:firstLine="0"/>
              <w:jc w:val="left"/>
            </w:pPr>
            <w:r>
              <w:rPr>
                <w:rFonts w:ascii="Arial" w:hAnsi="Arial" w:eastAsia="Arial" w:cs="Arial"/>
                <w:color w:val="616161"/>
                <w:sz w:val="18"/>
                <w:szCs w:val="18"/>
              </w:rPr>
              <w:t>United Kingdom</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Research exchange through joint symposia</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42424"/>
                <w:sz w:val="20"/>
                <w:szCs w:val="20"/>
              </w:rPr>
              <w:t>2024-11</w:t>
            </w:r>
            <w:hyperlink r:id="rId82">
              <w:r>
                <w:rPr>
                  <w:rFonts w:ascii="Arial" w:hAnsi="Arial" w:eastAsia="Arial" w:cs="Arial"/>
                  <w:vertAlign w:val="superscript"/>
                  <w:color w:val="DC1E34"/>
                  <w:sz w:val="16"/>
                  <w:szCs w:val="16"/>
                </w:rPr>
                <w:t xml:space="preserve">66,</w:t>
              </w:r>
            </w:hyperlink>
            <w:hyperlink r:id="rId83">
              <w:r>
                <w:rPr>
                  <w:rFonts w:ascii="Arial" w:hAnsi="Arial" w:eastAsia="Arial" w:cs="Arial"/>
                  <w:vertAlign w:val="superscript"/>
                  <w:color w:val="DC1E34"/>
                  <w:sz w:val="16"/>
                  <w:szCs w:val="16"/>
                </w:rPr>
                <w:t xml:space="preserve">67</w:t>
              </w:r>
            </w:hyperlink>
          </w:p>
        </w:tc>
      </w:tr>
      <w:tr>
        <w:trPr>
          <w:cantSplit/>
        </w:trPr>
        <w:tc>
          <w:tcPr>
            <w:tcW w:type="dxa" w:w="4392"/>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b/>
                <w:color w:val="242424"/>
                <w:sz w:val="20"/>
                <w:szCs w:val="20"/>
              </w:rPr>
              <w:t>University of Oxford (Oxford University Clinical Research Unit)</w:t>
            </w:r>
          </w:p>
          <w:p>
            <w:pPr>
              <w:keepLines/>
              <w:widowControl/>
              <w:spacing w:before="0" w:after="0" w:line="220" w:lineRule="exact"/>
              <w:ind w:left="0" w:right="0" w:firstLine="0"/>
              <w:jc w:val="left"/>
            </w:pPr>
            <w:r>
              <w:rPr>
                <w:rFonts w:ascii="Arial" w:hAnsi="Arial" w:eastAsia="Arial" w:cs="Arial"/>
                <w:color w:val="616161"/>
                <w:sz w:val="18"/>
                <w:szCs w:val="18"/>
              </w:rPr>
              <w:t>United Kingdom</w:t>
            </w:r>
          </w:p>
        </w:tc>
        <w:tc>
          <w:tcPr>
            <w:tcW w:type="dxa" w:w="410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Clinical-trial capacity development and training</w:t>
            </w:r>
          </w:p>
        </w:tc>
        <w:tc>
          <w:tcPr>
            <w:tcW w:type="dxa" w:w="1584"/>
            <w:vAlign w:val="center"/>
            <w:tcMar>
              <w:top w:type="dxa" w:w="70"/>
              <w:bottom w:type="dxa" w:w="70"/>
              <w:left w:type="dxa" w:w="110"/>
              <w:right w:type="dxa" w:w="110"/>
            </w:tcMar>
            <w:shd w:val="clear" w:color="auto" w:fill="F6F6F6"/>
          </w:tcPr>
          <w:p>
            <w:pPr>
              <w:keepLines/>
              <w:widowControl/>
              <w:spacing w:before="0" w:after="0" w:line="240" w:lineRule="exact"/>
              <w:ind w:left="0" w:firstLine="0" w:right="0"/>
              <w:jc w:val="left"/>
            </w:pPr>
            <w:r>
              <w:rPr>
                <w:rFonts w:ascii="Arial" w:hAnsi="Arial" w:eastAsia="Arial" w:cs="Arial"/>
                <w:color w:val="242424"/>
                <w:sz w:val="20"/>
                <w:szCs w:val="20"/>
              </w:rPr>
              <w:t>2025-01</w:t>
            </w:r>
            <w:hyperlink r:id="rId84">
              <w:r>
                <w:rPr>
                  <w:rFonts w:ascii="Arial" w:hAnsi="Arial" w:eastAsia="Arial" w:cs="Arial"/>
                  <w:vertAlign w:val="superscript"/>
                  <w:color w:val="DC1E34"/>
                  <w:sz w:val="16"/>
                  <w:szCs w:val="16"/>
                </w:rPr>
                <w:t xml:space="preserve">68,</w:t>
              </w:r>
            </w:hyperlink>
            <w:hyperlink r:id="rId85">
              <w:r>
                <w:rPr>
                  <w:rFonts w:ascii="Arial" w:hAnsi="Arial" w:eastAsia="Arial" w:cs="Arial"/>
                  <w:vertAlign w:val="superscript"/>
                  <w:color w:val="DC1E34"/>
                  <w:sz w:val="16"/>
                  <w:szCs w:val="16"/>
                </w:rPr>
                <w:t xml:space="preserve">69,</w:t>
              </w:r>
            </w:hyperlink>
            <w:hyperlink r:id="rId86">
              <w:r>
                <w:rPr>
                  <w:rFonts w:ascii="Arial" w:hAnsi="Arial" w:eastAsia="Arial" w:cs="Arial"/>
                  <w:vertAlign w:val="superscript"/>
                  <w:color w:val="DC1E34"/>
                  <w:sz w:val="16"/>
                  <w:szCs w:val="16"/>
                </w:rPr>
                <w:t xml:space="preserve">70,</w:t>
              </w:r>
            </w:hyperlink>
            <w:hyperlink r:id="rId87">
              <w:r>
                <w:rPr>
                  <w:rFonts w:ascii="Arial" w:hAnsi="Arial" w:eastAsia="Arial" w:cs="Arial"/>
                  <w:vertAlign w:val="superscript"/>
                  <w:color w:val="DC1E34"/>
                  <w:sz w:val="16"/>
                  <w:szCs w:val="16"/>
                </w:rPr>
                <w:t xml:space="preserve">71</w:t>
              </w:r>
            </w:hyperlink>
          </w:p>
        </w:tc>
      </w:tr>
    </w:tbl>
    <w:p>
      <w:pPr>
        <w:widowControl/>
        <w:spacing w:before="0" w:after="60" w:line="40" w:lineRule="exact"/>
        <w:ind w:left="0" w:firstLine="0" w:right="0"/>
        <w:jc w:val="left"/>
      </w:pPr>
    </w:p>
    <w:p>
      <w:pPr>
        <w:pStyle w:val="Heading1"/>
        <w:keepNext/>
        <w:keepLines/>
        <w:widowControl/>
        <w:spacing w:before="0" w:after="260" w:line="500" w:lineRule="exact"/>
        <w:ind w:left="0" w:firstLine="0" w:right="0"/>
        <w:jc w:val="left"/>
      </w:pPr>
      <w:bookmarkStart w:id="741" w:name="recent"/>
      <w:r>
        <w:rPr>
          <w:rFonts w:ascii="Arial" w:hAnsi="Arial" w:eastAsia="Arial" w:cs="Arial"/>
          <w:color w:val="DC1E34"/>
          <w:sz w:val="42"/>
          <w:szCs w:val="42"/>
          <w:b w:val="1"/>
        </w:rPr>
        <w:t>Recent developments</w:t>
      </w:r>
      <w:bookmarkEnd w:id="741"/>
    </w:p>
    <w:p>
      <w:pPr>
        <w:keepNext/>
        <w:widowControl/>
        <w:spacing w:before="180" w:after="120" w:line="280" w:lineRule="exact"/>
        <w:ind w:left="0" w:firstLine="0" w:right="0"/>
        <w:jc w:val="left"/>
      </w:pPr>
      <w:r>
        <w:rPr>
          <w:rFonts w:ascii="Arial" w:hAnsi="Arial" w:eastAsia="Arial" w:cs="Arial"/>
          <w:color w:val="DC1E34"/>
          <w:sz w:val="22"/>
          <w:szCs w:val="22"/>
          <w:b w:val="1"/>
        </w:rPr>
        <w:t>2026-10-03  New national survey reports improved prevention</w:t>
      </w:r>
    </w:p>
    <w:p>
      <w:pPr>
        <w:keepLines/>
        <w:widowControl/>
        <w:spacing w:before="0" w:after="260" w:line="288" w:lineRule="exact"/>
        <w:ind w:left="0" w:firstLine="0" w:right="0"/>
        <w:jc w:val="left"/>
      </w:pPr>
      <w:r>
        <w:rPr>
          <w:rFonts w:ascii="Arial" w:hAnsi="Arial" w:eastAsia="Arial" w:cs="Arial"/>
          <w:color w:val="242424"/>
          <w:sz w:val="22"/>
          <w:szCs w:val="22"/>
        </w:rPr>
        <w:t>NPHS 2025 reported chronic-disease screening in 71.5% of eligible residents aged 40 to 74, up from 66.4% in 2024, and sufficient physical activity in 87.3% of residents aged 18 to 74. The screening measure excludes people with previously diagnosed relevant conditions.</w:t>
      </w:r>
      <w:hyperlink r:id="rId36">
        <w:r>
          <w:rPr>
            <w:rFonts w:ascii="Arial" w:hAnsi="Arial" w:eastAsia="Arial" w:cs="Arial"/>
            <w:vertAlign w:val="superscript"/>
            <w:color w:val="DC1E34"/>
            <w:sz w:val="16"/>
            <w:szCs w:val="16"/>
          </w:rPr>
          <w:t xml:space="preserve">17</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2026-09-09  Health regulatory consolidation scheduled in two phases</w:t>
      </w:r>
    </w:p>
    <w:p>
      <w:pPr>
        <w:keepLines/>
        <w:widowControl/>
        <w:spacing w:before="0" w:after="260" w:line="288" w:lineRule="exact"/>
        <w:ind w:left="0" w:firstLine="0" w:right="0"/>
        <w:jc w:val="left"/>
      </w:pPr>
      <w:r>
        <w:rPr>
          <w:rFonts w:ascii="Arial" w:hAnsi="Arial" w:eastAsia="Arial" w:cs="Arial"/>
          <w:color w:val="242424"/>
          <w:sz w:val="22"/>
          <w:szCs w:val="22"/>
        </w:rPr>
        <w:t>MOH announced a two-phase consolidation under HSA: MOH regulatory functions and staff are scheduled to transfer in November 2026, followed by the Secretariat of healthcare Professional Boards’ functions and staff by end-2027. The professional boards and councils retain their existing self-regulatory and disciplinary roles.</w:t>
      </w:r>
      <w:hyperlink r:id="rId88">
        <w:r>
          <w:rPr>
            <w:rFonts w:ascii="Arial" w:hAnsi="Arial" w:eastAsia="Arial" w:cs="Arial"/>
            <w:vertAlign w:val="superscript"/>
            <w:color w:val="DC1E34"/>
            <w:sz w:val="16"/>
            <w:szCs w:val="16"/>
          </w:rPr>
          <w:t xml:space="preserve">72</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2026-05-06  Health-information sharing moves toward phased implementation</w:t>
      </w:r>
    </w:p>
    <w:p>
      <w:pPr>
        <w:keepLines/>
        <w:widowControl/>
        <w:spacing w:before="0" w:after="260" w:line="288" w:lineRule="exact"/>
        <w:ind w:left="0" w:firstLine="0" w:right="0"/>
        <w:jc w:val="left"/>
      </w:pPr>
      <w:r>
        <w:rPr>
          <w:rFonts w:ascii="Arial" w:hAnsi="Arial" w:eastAsia="Arial" w:cs="Arial"/>
          <w:color w:val="242424"/>
          <w:sz w:val="22"/>
          <w:szCs w:val="22"/>
        </w:rPr>
        <w:t>The Health Information Act was enacted on February 3, 2026. MOH subsequently announced progressive record-contribution requirements from September 2027. The current implementation schedule covers general practitioners, private hospitals and specified diagnostic providers first, followed by specialist outpatient clinics, nursing homes and other designated providers from September 2028.</w:t>
      </w:r>
      <w:hyperlink r:id="rId33">
        <w:r>
          <w:rPr>
            <w:rFonts w:ascii="Arial" w:hAnsi="Arial" w:eastAsia="Arial" w:cs="Arial"/>
            <w:vertAlign w:val="superscript"/>
            <w:color w:val="DC1E34"/>
            <w:sz w:val="16"/>
            <w:szCs w:val="16"/>
          </w:rPr>
          <w:t xml:space="preserve">37,</w:t>
        </w:r>
      </w:hyperlink>
      <w:hyperlink r:id="rId89">
        <w:r>
          <w:rPr>
            <w:rFonts w:ascii="Arial" w:hAnsi="Arial" w:eastAsia="Arial" w:cs="Arial"/>
            <w:vertAlign w:val="superscript"/>
            <w:color w:val="DC1E34"/>
            <w:sz w:val="16"/>
            <w:szCs w:val="16"/>
          </w:rPr>
          <w:t xml:space="preserve">73</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2026-03-05  Hospital and primary-care expansion reaffirmed</w:t>
      </w:r>
    </w:p>
    <w:p>
      <w:pPr>
        <w:keepLines/>
        <w:widowControl/>
        <w:spacing w:before="0" w:after="260" w:line="288" w:lineRule="exact"/>
        <w:ind w:left="0" w:firstLine="0" w:right="0"/>
        <w:jc w:val="left"/>
      </w:pPr>
      <w:r>
        <w:rPr>
          <w:rFonts w:ascii="Arial" w:hAnsi="Arial" w:eastAsia="Arial" w:cs="Arial"/>
          <w:color w:val="242424"/>
          <w:sz w:val="22"/>
          <w:szCs w:val="22"/>
        </w:rPr>
        <w:t>MOH maintained its plan for about 2,800 additional public acute and community beds by 2030. The update identified the SGH Elective Care Centre for 2027, progressive opening of redeveloped Alexandra Hospital from 2028, and the Eastern General Hospital Campus from 2029.</w:t>
      </w:r>
      <w:hyperlink r:id="rId32">
        <w:r>
          <w:rPr>
            <w:rFonts w:ascii="Arial" w:hAnsi="Arial" w:eastAsia="Arial" w:cs="Arial"/>
            <w:vertAlign w:val="superscript"/>
            <w:color w:val="DC1E34"/>
            <w:sz w:val="16"/>
            <w:szCs w:val="16"/>
          </w:rPr>
          <w:t xml:space="preserve">20</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2026-02-03  Workforce growth planned through 2030</w:t>
      </w:r>
    </w:p>
    <w:p>
      <w:pPr>
        <w:keepLines/>
        <w:widowControl/>
        <w:spacing w:before="0" w:after="260" w:line="288" w:lineRule="exact"/>
        <w:ind w:left="0" w:firstLine="0" w:right="0"/>
        <w:jc w:val="left"/>
      </w:pPr>
      <w:r>
        <w:rPr>
          <w:rFonts w:ascii="Arial" w:hAnsi="Arial" w:eastAsia="Arial" w:cs="Arial"/>
          <w:color w:val="242424"/>
          <w:sz w:val="22"/>
          <w:szCs w:val="22"/>
        </w:rPr>
        <w:t>MOH projected growth in the overall healthcare workforce from 129,000 in 2024 to about 156,000 in 2030, factoring in changes in care models and greater demand for community nursing.</w:t>
      </w:r>
      <w:hyperlink r:id="rId48">
        <w:r>
          <w:rPr>
            <w:rFonts w:ascii="Arial" w:hAnsi="Arial" w:eastAsia="Arial" w:cs="Arial"/>
            <w:vertAlign w:val="superscript"/>
            <w:color w:val="DC1E34"/>
            <w:sz w:val="16"/>
            <w:szCs w:val="16"/>
          </w:rPr>
          <w:t xml:space="preserve">31</w:t>
        </w:r>
      </w:hyperlink>
    </w:p>
    <w:p>
      <w:pPr>
        <w:pStyle w:val="Heading1"/>
        <w:keepNext/>
        <w:keepLines/>
        <w:widowControl/>
        <w:spacing w:before="0" w:after="260" w:line="500" w:lineRule="exact"/>
        <w:ind w:left="0" w:firstLine="0" w:right="0"/>
        <w:jc w:val="left"/>
      </w:pPr>
      <w:bookmarkStart w:id="1194" w:name="assessment"/>
      <w:r>
        <w:rPr>
          <w:rFonts w:ascii="Arial" w:hAnsi="Arial" w:eastAsia="Arial" w:cs="Arial"/>
          <w:color w:val="DC1E34"/>
          <w:sz w:val="42"/>
          <w:szCs w:val="42"/>
          <w:b w:val="1"/>
        </w:rPr>
        <w:t>CSI assessment</w:t>
      </w:r>
      <w:bookmarkEnd w:id="1194"/>
    </w:p>
    <w:p>
      <w:pPr>
        <w:keepLines/>
        <w:widowControl/>
        <w:spacing w:before="0" w:after="160" w:line="228" w:lineRule="exact"/>
        <w:ind w:left="0" w:firstLine="0" w:right="0"/>
        <w:jc w:val="left"/>
      </w:pPr>
      <w:r>
        <w:rPr>
          <w:rFonts w:ascii="Arial" w:hAnsi="Arial" w:eastAsia="Arial" w:cs="Arial"/>
          <w:color w:val="616161"/>
          <w:sz w:val="18"/>
          <w:szCs w:val="18"/>
        </w:rPr>
        <w:t>Complete these fields from Cedars-Sinai internal records and human judgment before circulation. Public institutional research relationships do not establish CSI referral activity or commercial terms.</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Patient Volume and Revenue</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Referral Sources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Relationship History</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Complications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Key Contacts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Opportunities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CSI Recommendation</w:t>
      </w:r>
    </w:p>
    <w:p>
      <w:pPr>
        <w:widowControl/>
        <w:spacing w:before="0" w:after="340" w:line="260" w:lineRule="exact"/>
        <w:ind w:left="0" w:firstLine="0" w:right="0"/>
        <w:jc w:val="left"/>
      </w:pPr>
      <w:r>
        <w:rPr>
          <w:rFonts w:ascii="Arial" w:hAnsi="Arial" w:eastAsia="Arial" w:cs="Arial"/>
          <w:color w:val="616161"/>
          <w:sz w:val="20"/>
          <w:szCs w:val="20"/>
        </w:rPr>
        <w:t>[MANUAL INPUT REQUIRED]</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79" w:right="1080" w:bottom="979" w:left="1080" w:header="10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tabs>
        <w:tab w:pos="10080" w:val="right"/>
      </w:tabs>
      <w:spacing w:before="0" w:after="0" w:line="200" w:lineRule="exact"/>
      <w:ind w:left="0" w:firstLine="0" w:right="0"/>
      <w:jc w:val="left"/>
    </w:pPr>
    <w:r>
      <w:rPr>
        <w:rFonts w:ascii="Arial" w:hAnsi="Arial" w:eastAsia="Arial" w:cs="Arial"/>
        <w:color w:val="76777A"/>
        <w:sz w:val="15"/>
        <w:szCs w:val="16"/>
      </w:rPr>
      <w:t>Country profile  |  Analyst review draft  |  7 October 2026</w:t>
      <w:tab/>
    </w:r>
    <w:r>
      <w:rPr>
        <w:rFonts w:ascii="Arial" w:hAnsi="Arial" w:eastAsia="Arial" w:cs="Arial"/>
        <w:color w:val="76777A"/>
        <w:sz w:val="15"/>
        <w:szCs w:val="16"/>
      </w:rPr>
      <w:fldChar w:fldCharType="begin"/>
    </w:r>
    <w:r>
      <w:rPr>
        <w:rFonts w:ascii="Arial" w:hAnsi="Arial" w:eastAsia="Arial" w:cs="Arial"/>
        <w:color w:val="76777A"/>
        <w:sz w:val="15"/>
        <w:szCs w:val="16"/>
      </w:rPr>
      <w:instrText xml:space="preserve"> PAGE </w:instrText>
    </w:r>
    <w:r>
      <w:rPr>
        <w:rFonts w:ascii="Arial" w:hAnsi="Arial" w:eastAsia="Arial" w:cs="Arial"/>
        <w:color w:val="76777A"/>
        <w:sz w:val="15"/>
        <w:szCs w:val="16"/>
      </w:rPr>
      <w:fldChar w:fldCharType="separate"/>
    </w:r>
    <w:r>
      <w:rPr>
        <w:rFonts w:ascii="Arial" w:hAnsi="Arial" w:eastAsia="Arial" w:cs="Arial"/>
        <w:color w:val="76777A"/>
        <w:sz w:val="15"/>
        <w:szCs w:val="16"/>
      </w:rPr>
      <w:t>1</w:t>
    </w:r>
    <w:r>
      <w:rPr>
        <w:rFonts w:ascii="Arial" w:hAnsi="Arial" w:eastAsia="Arial" w:cs="Arial"/>
        <w:color w:val="76777A"/>
        <w:sz w:val="15"/>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Singapore</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Singapore</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updateFields w:val="false"/>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ind w:left="0" w:right="0" w:firstLine="0"/>
    </w:pPr>
    <w:rPr>
      <w:rFonts w:ascii="Arial" w:hAnsi="Arial"/>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0" w:after="140" w:line="276" w:lineRule="auto"/>
      <w:ind w:left="0" w:right="0" w:firstLine="0"/>
      <w:outlineLvl w:val="0"/>
    </w:pPr>
    <w:rPr>
      <w:rFonts w:ascii="Arial" w:hAnsi="Arial" w:eastAsia="Arial" w:cs="Arial"/>
      <w:b/>
      <w:bCs/>
      <w:color w:val="DC1E34"/>
      <w:sz w:val="42"/>
      <w:szCs w:val="28"/>
    </w:rPr>
  </w:style>
  <w:style w:type="paragraph" w:styleId="Heading2">
    <w:name w:val="heading 2"/>
    <w:basedOn w:val="Normal"/>
    <w:next w:val="Normal"/>
    <w:link w:val="Heading2Char"/>
    <w:uiPriority w:val="9"/>
    <w:unhideWhenUsed/>
    <w:qFormat/>
    <w:rsid w:val="00FC693F"/>
    <w:pPr>
      <w:keepNext/>
      <w:keepLines/>
      <w:spacing w:before="0" w:after="140" w:line="276" w:lineRule="auto"/>
      <w:ind w:left="0" w:right="0" w:firstLine="0"/>
      <w:outlineLvl w:val="1"/>
    </w:pPr>
    <w:rPr>
      <w:rFonts w:ascii="Arial" w:hAnsi="Arial" w:eastAsia="Arial" w:cs="Arial"/>
      <w:b/>
      <w:bCs/>
      <w:color w:val="DC1E34"/>
      <w:sz w:val="25"/>
      <w:szCs w:val="26"/>
    </w:rPr>
  </w:style>
  <w:style w:type="paragraph" w:styleId="Heading3">
    <w:name w:val="heading 3"/>
    <w:basedOn w:val="Normal"/>
    <w:next w:val="Normal"/>
    <w:link w:val="Heading3Char"/>
    <w:uiPriority w:val="9"/>
    <w:unhideWhenUsed/>
    <w:qFormat/>
    <w:rsid w:val="00FC693F"/>
    <w:pPr>
      <w:keepNext/>
      <w:keepLines/>
      <w:spacing w:before="0" w:after="140" w:line="276" w:lineRule="auto"/>
      <w:ind w:left="0" w:right="0" w:firstLine="0"/>
      <w:outlineLvl w:val="2"/>
    </w:pPr>
    <w:rPr>
      <w:rFonts w:ascii="Arial" w:hAnsi="Arial" w:eastAsia="Arial" w:cs="Arial"/>
      <w:b/>
      <w:bCs/>
      <w:color w:val="DC1E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2424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24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24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2424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24242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242424"/>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Arial" w:hAnsi="Arial" w:eastAsia="Arial" w:cs="Arial"/>
      <w:b/>
      <w:bCs/>
      <w:color w:val="242424"/>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242424"/>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242424"/>
    </w:rPr>
  </w:style>
  <w:style w:type="paragraph" w:styleId="Title">
    <w:name w:val="Title"/>
    <w:basedOn w:val="Normal"/>
    <w:next w:val="Normal"/>
    <w:link w:val="TitleChar"/>
    <w:uiPriority w:val="10"/>
    <w:qFormat/>
    <w:rsid w:val="00FC693F"/>
    <w:pPr>
      <w:spacing w:after="140" w:line="276" w:lineRule="auto" w:before="0"/>
      <w:ind w:left="0" w:right="0" w:firstLine="0"/>
      <w:contextualSpacing/>
    </w:pPr>
    <w:rPr>
      <w:rFonts w:ascii="Arial" w:hAnsi="Arial" w:eastAsia="Arial" w:cs="Arial"/>
      <w:color w:val="DC1E34"/>
      <w:spacing w:val="5"/>
      <w:kern w:val="28"/>
      <w:sz w:val="60"/>
      <w:szCs w:val="52"/>
    </w:rPr>
  </w:style>
  <w:style w:type="character" w:customStyle="1" w:styleId="TitleChar">
    <w:name w:val="Title Char"/>
    <w:basedOn w:val="DefaultParagraphFont"/>
    <w:link w:val="Title"/>
    <w:uiPriority w:val="10"/>
    <w:rsid w:val="00FC693F"/>
    <w:rPr>
      <w:rFonts w:ascii="Arial" w:hAnsi="Arial" w:eastAsia="Arial" w:cs="Arial"/>
      <w:color w:val="242424"/>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line="276" w:lineRule="auto"/>
      <w:ind w:left="0" w:right="0" w:firstLine="0"/>
    </w:pPr>
    <w:rPr>
      <w:rFonts w:ascii="Arial" w:hAnsi="Arial" w:eastAsia="Arial" w:cs="Arial"/>
      <w:i/>
      <w:iCs/>
      <w:color w:val="61616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242424"/>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i/>
      <w:iCs/>
      <w:color w:val="242424"/>
    </w:rPr>
  </w:style>
  <w:style w:type="character" w:customStyle="1" w:styleId="QuoteChar">
    <w:name w:val="Quote Char"/>
    <w:basedOn w:val="DefaultParagraphFont"/>
    <w:link w:val="Quote"/>
    <w:uiPriority w:val="29"/>
    <w:rsid w:val="00FC693F"/>
    <w:rPr>
      <w:rFonts w:ascii="Arial" w:hAnsi="Arial"/>
      <w:i/>
      <w:iCs/>
      <w:color w:val="242424"/>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242424"/>
    </w:rPr>
  </w:style>
  <w:style w:type="character" w:customStyle="1" w:styleId="Heading5Char">
    <w:name w:val="Heading 5 Char"/>
    <w:basedOn w:val="DefaultParagraphFont"/>
    <w:link w:val="Heading5"/>
    <w:uiPriority w:val="9"/>
    <w:semiHidden/>
    <w:rsid w:val="00FC693F"/>
    <w:rPr>
      <w:rFonts w:ascii="Arial" w:hAnsi="Arial" w:eastAsia="Arial" w:cs="Arial"/>
      <w:color w:val="242424"/>
    </w:rPr>
  </w:style>
  <w:style w:type="character" w:customStyle="1" w:styleId="Heading6Char">
    <w:name w:val="Heading 6 Char"/>
    <w:basedOn w:val="DefaultParagraphFont"/>
    <w:link w:val="Heading6"/>
    <w:uiPriority w:val="9"/>
    <w:semiHidden/>
    <w:rsid w:val="00FC693F"/>
    <w:rPr>
      <w:rFonts w:ascii="Arial" w:hAnsi="Arial" w:eastAsia="Arial" w:cs="Arial"/>
      <w:i/>
      <w:iCs/>
      <w:color w:val="242424"/>
    </w:rPr>
  </w:style>
  <w:style w:type="character" w:customStyle="1" w:styleId="Heading7Char">
    <w:name w:val="Heading 7 Char"/>
    <w:basedOn w:val="DefaultParagraphFont"/>
    <w:link w:val="Heading7"/>
    <w:uiPriority w:val="9"/>
    <w:semiHidden/>
    <w:rsid w:val="00FC693F"/>
    <w:rPr>
      <w:rFonts w:ascii="Arial" w:hAnsi="Arial" w:eastAsia="Arial" w:cs="Arial"/>
      <w:i/>
      <w:iCs/>
      <w:color w:val="242424"/>
    </w:rPr>
  </w:style>
  <w:style w:type="character" w:customStyle="1" w:styleId="Heading8Char">
    <w:name w:val="Heading 8 Char"/>
    <w:basedOn w:val="DefaultParagraphFont"/>
    <w:link w:val="Heading8"/>
    <w:uiPriority w:val="9"/>
    <w:semiHidden/>
    <w:rsid w:val="00FC693F"/>
    <w:rPr>
      <w:rFonts w:ascii="Arial" w:hAnsi="Arial" w:eastAsia="Arial" w:cs="Arial"/>
      <w:color w:val="242424"/>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24242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242424"/>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242424"/>
    </w:rPr>
  </w:style>
  <w:style w:type="character" w:customStyle="1" w:styleId="IntenseQuoteChar">
    <w:name w:val="Intense Quote Char"/>
    <w:basedOn w:val="DefaultParagraphFont"/>
    <w:link w:val="IntenseQuote"/>
    <w:uiPriority w:val="30"/>
    <w:rsid w:val="00FC693F"/>
    <w:rPr>
      <w:rFonts w:ascii="Arial" w:hAnsi="Arial"/>
      <w:b/>
      <w:bCs/>
      <w:i/>
      <w:iCs/>
      <w:color w:val="242424"/>
    </w:rPr>
  </w:style>
  <w:style w:type="character" w:styleId="SubtleEmphasis">
    <w:name w:val="Subtle Emphasis"/>
    <w:basedOn w:val="DefaultParagraphFont"/>
    <w:uiPriority w:val="19"/>
    <w:qFormat/>
    <w:rsid w:val="00FC693F"/>
    <w:rPr>
      <w:rFonts w:ascii="Arial" w:hAnsi="Arial"/>
      <w:i/>
      <w:iCs/>
      <w:color w:val="242424"/>
    </w:rPr>
  </w:style>
  <w:style w:type="character" w:styleId="IntenseEmphasis">
    <w:name w:val="Intense Emphasis"/>
    <w:basedOn w:val="DefaultParagraphFont"/>
    <w:uiPriority w:val="21"/>
    <w:qFormat/>
    <w:rsid w:val="00FC693F"/>
    <w:rPr>
      <w:rFonts w:ascii="Arial" w:hAnsi="Arial"/>
      <w:b/>
      <w:bCs/>
      <w:i/>
      <w:iCs/>
      <w:color w:val="242424"/>
    </w:rPr>
  </w:style>
  <w:style w:type="character" w:styleId="SubtleReference">
    <w:name w:val="Subtle Reference"/>
    <w:basedOn w:val="DefaultParagraphFont"/>
    <w:uiPriority w:val="31"/>
    <w:qFormat/>
    <w:rsid w:val="00FC693F"/>
    <w:rPr>
      <w:rFonts w:ascii="Arial" w:hAnsi="Arial"/>
      <w:smallCaps/>
      <w:color w:val="242424"/>
      <w:u w:val="single"/>
    </w:rPr>
  </w:style>
  <w:style w:type="character" w:styleId="IntenseReference">
    <w:name w:val="Intense Reference"/>
    <w:basedOn w:val="DefaultParagraphFont"/>
    <w:uiPriority w:val="32"/>
    <w:qFormat/>
    <w:rsid w:val="00FC693F"/>
    <w:rPr>
      <w:rFonts w:ascii="Arial" w:hAnsi="Arial"/>
      <w:b/>
      <w:bCs/>
      <w:smallCaps/>
      <w:color w:val="242424"/>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2424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2424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2424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2424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2424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2424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2424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24242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24242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24242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24242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24242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24242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24242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242424"/>
      </w:rPr>
      <w:tblPr/>
      <w:tcPr>
        <w:shd w:val="clear" w:color="auto" w:fill="E6E6E6" w:themeFill="text1"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242424"/>
      </w:rPr>
      <w:tblPr/>
      <w:tcPr>
        <w:shd w:val="clear" w:color="auto" w:fill="EDF2F8" w:themeFill="accent1"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242424"/>
      </w:rPr>
      <w:tblPr/>
      <w:tcPr>
        <w:shd w:val="clear" w:color="auto" w:fill="F8EDED" w:themeFill="accent2"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242424"/>
      </w:rPr>
      <w:tblPr/>
      <w:tcPr>
        <w:shd w:val="clear" w:color="auto" w:fill="F5F8EE" w:themeFill="accent3"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242424"/>
      </w:rPr>
      <w:tblPr/>
      <w:tcPr>
        <w:shd w:val="clear" w:color="auto" w:fill="F2EFF6" w:themeFill="accent4"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242424"/>
      </w:rPr>
      <w:tblPr/>
      <w:tcPr>
        <w:shd w:val="clear" w:color="auto" w:fill="EDF6F9" w:themeFill="accent5"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242424"/>
      </w:rPr>
      <w:tblPr/>
      <w:tcPr>
        <w:shd w:val="clear" w:color="auto" w:fill="FEF4EC" w:themeFill="accent6"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000000" w:themeFill="text1" w:themeFillShade="99"/>
      </w:tcPr>
    </w:tblStylePr>
    <w:tblStylePr w:type="firstCol">
      <w:rPr>
        <w:color w:val="2424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2424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242424"/>
      </w:rPr>
    </w:tblStylePr>
    <w:tblStylePr w:type="nwCell">
      <w:rPr>
        <w:color w:val="242424"/>
      </w:rPr>
    </w:tblStylePr>
  </w:style>
  <w:style w:type="table" w:styleId="ColorfulShading-Accent1">
    <w:name w:val="Colorful Shading Accent 1"/>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2C4C74" w:themeFill="accent1" w:themeFillShade="99"/>
      </w:tcPr>
    </w:tblStylePr>
    <w:tblStylePr w:type="firstCol">
      <w:rPr>
        <w:color w:val="2424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2424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242424"/>
      </w:rPr>
    </w:tblStylePr>
    <w:tblStylePr w:type="nwCell">
      <w:rPr>
        <w:color w:val="242424"/>
      </w:rPr>
    </w:tblStylePr>
  </w:style>
  <w:style w:type="table" w:styleId="ColorfulShading-Accent2">
    <w:name w:val="Colorful Shading Accent 2"/>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772C2A" w:themeFill="accent2" w:themeFillShade="99"/>
      </w:tcPr>
    </w:tblStylePr>
    <w:tblStylePr w:type="firstCol">
      <w:rPr>
        <w:color w:val="2424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2424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242424"/>
      </w:rPr>
    </w:tblStylePr>
    <w:tblStylePr w:type="nwCell">
      <w:rPr>
        <w:color w:val="242424"/>
      </w:rPr>
    </w:tblStylePr>
  </w:style>
  <w:style w:type="table" w:styleId="ColorfulShading-Accent3">
    <w:name w:val="Colorful Shading Accent 3"/>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5E7530" w:themeFill="accent3" w:themeFillShade="99"/>
      </w:tcPr>
    </w:tblStylePr>
    <w:tblStylePr w:type="firstCol">
      <w:rPr>
        <w:color w:val="2424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2424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4C3B62" w:themeFill="accent4" w:themeFillShade="99"/>
      </w:tcPr>
    </w:tblStylePr>
    <w:tblStylePr w:type="firstCol">
      <w:rPr>
        <w:color w:val="2424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2424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242424"/>
      </w:rPr>
    </w:tblStylePr>
    <w:tblStylePr w:type="nwCell">
      <w:rPr>
        <w:color w:val="242424"/>
      </w:rPr>
    </w:tblStylePr>
  </w:style>
  <w:style w:type="table" w:styleId="ColorfulShading-Accent5">
    <w:name w:val="Colorful Shading Accent 5"/>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276A7C" w:themeFill="accent5" w:themeFillShade="99"/>
      </w:tcPr>
    </w:tblStylePr>
    <w:tblStylePr w:type="firstCol">
      <w:rPr>
        <w:color w:val="2424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2424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242424"/>
      </w:rPr>
    </w:tblStylePr>
    <w:tblStylePr w:type="nwCell">
      <w:rPr>
        <w:color w:val="242424"/>
      </w:rPr>
    </w:tblStylePr>
  </w:style>
  <w:style w:type="table" w:styleId="ColorfulShading-Accent6">
    <w:name w:val="Colorful Shading Accent 6"/>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B65608" w:themeFill="accent6" w:themeFillShade="99"/>
      </w:tcPr>
    </w:tblStylePr>
    <w:tblStylePr w:type="firstCol">
      <w:rPr>
        <w:color w:val="2424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2424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242424"/>
      </w:rPr>
    </w:tblStylePr>
    <w:tblStylePr w:type="nwCell">
      <w:rPr>
        <w:color w:val="242424"/>
      </w:rPr>
    </w:tblStylePr>
  </w:style>
  <w:style w:type="table" w:styleId="ColorfulList">
    <w:name w:val="Colorful List"/>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242424"/>
      </w:rPr>
      <w:tblPr/>
      <w:tcPr>
        <w:tcBorders>
          <w:bottom w:val="single" w:sz="12" w:space="0" w:color="FFFFFF" w:themeColor="background1"/>
        </w:tcBorders>
        <w:shd w:val="clear" w:color="auto" w:fill="664E82" w:themeFill="accent4"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242424"/>
      </w:rPr>
      <w:tblPr/>
      <w:tcPr>
        <w:tcBorders>
          <w:bottom w:val="single" w:sz="12" w:space="0" w:color="FFFFFF" w:themeColor="background1"/>
        </w:tcBorders>
        <w:shd w:val="clear" w:color="auto" w:fill="7E9C40" w:themeFill="accent3"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242424"/>
      </w:rPr>
      <w:tblPr/>
      <w:tcPr>
        <w:tcBorders>
          <w:bottom w:val="single" w:sz="12" w:space="0" w:color="FFFFFF" w:themeColor="background1"/>
        </w:tcBorders>
        <w:shd w:val="clear" w:color="auto" w:fill="F2730A" w:themeFill="accent6"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242424"/>
      </w:rPr>
      <w:tblPr/>
      <w:tcPr>
        <w:tcBorders>
          <w:bottom w:val="single" w:sz="12" w:space="0" w:color="FFFFFF" w:themeColor="background1"/>
        </w:tcBorders>
        <w:shd w:val="clear" w:color="auto" w:fill="348DA5" w:themeFill="accent5"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242424"/>
      </w:rPr>
      <w:tblPr/>
      <w:tcPr>
        <w:shd w:val="clear" w:color="auto" w:fill="999999" w:themeFill="text1" w:themeFillTint="66"/>
      </w:tcPr>
    </w:tblStylePr>
    <w:tblStylePr w:type="firstCol">
      <w:rPr>
        <w:color w:val="242424"/>
      </w:rPr>
      <w:tblPr/>
      <w:tcPr>
        <w:shd w:val="clear" w:color="auto" w:fill="000000" w:themeFill="text1" w:themeFillShade="BF"/>
      </w:tcPr>
    </w:tblStylePr>
    <w:tblStylePr w:type="lastCol">
      <w:rPr>
        <w:color w:val="2424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242424"/>
      </w:rPr>
      <w:tblPr/>
      <w:tcPr>
        <w:shd w:val="clear" w:color="auto" w:fill="B8CCE4" w:themeFill="accent1" w:themeFillTint="66"/>
      </w:tcPr>
    </w:tblStylePr>
    <w:tblStylePr w:type="firstCol">
      <w:rPr>
        <w:color w:val="242424"/>
      </w:rPr>
      <w:tblPr/>
      <w:tcPr>
        <w:shd w:val="clear" w:color="auto" w:fill="365F91" w:themeFill="accent1" w:themeFillShade="BF"/>
      </w:tcPr>
    </w:tblStylePr>
    <w:tblStylePr w:type="lastCol">
      <w:rPr>
        <w:color w:val="2424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242424"/>
      </w:rPr>
      <w:tblPr/>
      <w:tcPr>
        <w:shd w:val="clear" w:color="auto" w:fill="E5B8B7" w:themeFill="accent2" w:themeFillTint="66"/>
      </w:tcPr>
    </w:tblStylePr>
    <w:tblStylePr w:type="firstCol">
      <w:rPr>
        <w:color w:val="242424"/>
      </w:rPr>
      <w:tblPr/>
      <w:tcPr>
        <w:shd w:val="clear" w:color="auto" w:fill="943634" w:themeFill="accent2" w:themeFillShade="BF"/>
      </w:tcPr>
    </w:tblStylePr>
    <w:tblStylePr w:type="lastCol">
      <w:rPr>
        <w:color w:val="2424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242424"/>
      </w:rPr>
      <w:tblPr/>
      <w:tcPr>
        <w:shd w:val="clear" w:color="auto" w:fill="D6E3BC" w:themeFill="accent3" w:themeFillTint="66"/>
      </w:tcPr>
    </w:tblStylePr>
    <w:tblStylePr w:type="firstCol">
      <w:rPr>
        <w:color w:val="242424"/>
      </w:rPr>
      <w:tblPr/>
      <w:tcPr>
        <w:shd w:val="clear" w:color="auto" w:fill="76923C" w:themeFill="accent3" w:themeFillShade="BF"/>
      </w:tcPr>
    </w:tblStylePr>
    <w:tblStylePr w:type="lastCol">
      <w:rPr>
        <w:color w:val="2424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242424"/>
      </w:rPr>
      <w:tblPr/>
      <w:tcPr>
        <w:shd w:val="clear" w:color="auto" w:fill="CCC0D9" w:themeFill="accent4" w:themeFillTint="66"/>
      </w:tcPr>
    </w:tblStylePr>
    <w:tblStylePr w:type="firstCol">
      <w:rPr>
        <w:color w:val="242424"/>
      </w:rPr>
      <w:tblPr/>
      <w:tcPr>
        <w:shd w:val="clear" w:color="auto" w:fill="5F497A" w:themeFill="accent4" w:themeFillShade="BF"/>
      </w:tcPr>
    </w:tblStylePr>
    <w:tblStylePr w:type="lastCol">
      <w:rPr>
        <w:color w:val="2424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242424"/>
      </w:rPr>
      <w:tblPr/>
      <w:tcPr>
        <w:shd w:val="clear" w:color="auto" w:fill="B6DDE8" w:themeFill="accent5" w:themeFillTint="66"/>
      </w:tcPr>
    </w:tblStylePr>
    <w:tblStylePr w:type="firstCol">
      <w:rPr>
        <w:color w:val="242424"/>
      </w:rPr>
      <w:tblPr/>
      <w:tcPr>
        <w:shd w:val="clear" w:color="auto" w:fill="31849B" w:themeFill="accent5" w:themeFillShade="BF"/>
      </w:tcPr>
    </w:tblStylePr>
    <w:tblStylePr w:type="lastCol">
      <w:rPr>
        <w:color w:val="2424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242424"/>
      </w:rPr>
      <w:tblPr/>
      <w:tcPr>
        <w:shd w:val="clear" w:color="auto" w:fill="FBD4B4" w:themeFill="accent6" w:themeFillTint="66"/>
      </w:tcPr>
    </w:tblStylePr>
    <w:tblStylePr w:type="firstCol">
      <w:rPr>
        <w:color w:val="242424"/>
      </w:rPr>
      <w:tblPr/>
      <w:tcPr>
        <w:shd w:val="clear" w:color="auto" w:fill="E36C0A" w:themeFill="accent6" w:themeFillShade="BF"/>
      </w:tcPr>
    </w:tblStylePr>
    <w:tblStylePr w:type="lastCol">
      <w:rPr>
        <w:color w:val="2424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2.jpg"/><Relationship Id="rId16" Type="http://schemas.openxmlformats.org/officeDocument/2006/relationships/hyperlink" Target="https://www.mfa.gov.sg/about-singapore/" TargetMode="External"/><Relationship Id="rId17" Type="http://schemas.openxmlformats.org/officeDocument/2006/relationships/hyperlink" Target="https://sso.agc.gov.sg/Act/CONS1963?ProvIds=pr153A-" TargetMode="External"/><Relationship Id="rId18" Type="http://schemas.openxmlformats.org/officeDocument/2006/relationships/hyperlink" Target="https://www.singstat.gov.sg/find-data/explore-data-themes/population/population-and-population-structure/latest-news-data" TargetMode="External"/><Relationship Id="rId19" Type="http://schemas.openxmlformats.org/officeDocument/2006/relationships/hyperlink" Target="https://www.singstat.gov.sg/find-data/explore-data-themes/society/environment/latest-news-data" TargetMode="External"/><Relationship Id="rId20" Type="http://schemas.openxmlformats.org/officeDocument/2006/relationships/hyperlink" Target="https://databank.worldbank.org/reports.aspx?country=SGP&amp;series=NY.GDP.PCAP.PP.CD&amp;source=2" TargetMode="External"/><Relationship Id="rId21" Type="http://schemas.openxmlformats.org/officeDocument/2006/relationships/hyperlink" Target="https://www.mas.gov.sg/currency" TargetMode="External"/><Relationship Id="rId22" Type="http://schemas.openxmlformats.org/officeDocument/2006/relationships/hyperlink" Target="https://www.singstat.gov.sg/publication-resources/population-trends-2026" TargetMode="External"/><Relationship Id="rId23" Type="http://schemas.openxmlformats.org/officeDocument/2006/relationships/hyperlink" Target="https://www.pmo.gov.sg/about-us/the-cabinet/mr-lawrence-wong/" TargetMode="External"/><Relationship Id="rId24" Type="http://schemas.openxmlformats.org/officeDocument/2006/relationships/hyperlink" Target="https://www.istana.gov.sg/the-president/president-tharman-shanmugaratnam/" TargetMode="External"/><Relationship Id="rId25" Type="http://schemas.openxmlformats.org/officeDocument/2006/relationships/hyperlink" Target="https://www.istana.gov.sg/the-president/presidents-duties/the-presidency/" TargetMode="External"/><Relationship Id="rId26" Type="http://schemas.openxmlformats.org/officeDocument/2006/relationships/hyperlink" Target="https://www.moh.gov.sg/about-us/our-partners/" TargetMode="External"/><Relationship Id="rId27" Type="http://schemas.openxmlformats.org/officeDocument/2006/relationships/hyperlink" Target="https://www.singstat.gov.sg/find-data/explore-data-themes/economy-prices/national-accounts/latest-news-data" TargetMode="External"/><Relationship Id="rId28" Type="http://schemas.openxmlformats.org/officeDocument/2006/relationships/hyperlink" Target="https://www.meti.gov.sg/newsroom/mti-upgrades-2026-gdp-growth-forecast-to--4-5-to-5-5-per-cent-/" TargetMode="External"/><Relationship Id="rId29" Type="http://schemas.openxmlformats.org/officeDocument/2006/relationships/hyperlink" Target="https://www.mti.gov.sg/newsroom/speech-by-minister-of-state-for-trade-and-industry-alvin-tan-at-ministry-of-trade-and-industry--mti--s-committee-of-supply-debate-2023/" TargetMode="External"/><Relationship Id="rId30" Type="http://schemas.openxmlformats.org/officeDocument/2006/relationships/hyperlink" Target="https://www.moh.gov.sg/staying-healthy/healthy-living/" TargetMode="External"/><Relationship Id="rId31" Type="http://schemas.openxmlformats.org/officeDocument/2006/relationships/hyperlink" Target="https://www.moh.gov.sg/ageing-well/ageing-in-the-community/" TargetMode="External"/><Relationship Id="rId32" Type="http://schemas.openxmlformats.org/officeDocument/2006/relationships/hyperlink" Target="https://www.moh.gov.sg/newsroom/enhancing-quality-and-coordination-of-care/" TargetMode="External"/><Relationship Id="rId33" Type="http://schemas.openxmlformats.org/officeDocument/2006/relationships/hyperlink" Target="https://www.healthinfo.gov.sg/hia/" TargetMode="External"/><Relationship Id="rId34" Type="http://schemas.openxmlformats.org/officeDocument/2006/relationships/hyperlink" Target="https://www.moh.gov.sg/others/resources-and-statistics/principal-causes-of-death/" TargetMode="External"/><Relationship Id="rId35" Type="http://schemas.openxmlformats.org/officeDocument/2006/relationships/hyperlink" Target="https://isomer-user-content.by.gov.sg/3/4cad4e62-8093-48de-b0d1-af8e012d4d95/NPHS%202024%20Survey%20Report_Final.pdf" TargetMode="External"/><Relationship Id="rId36" Type="http://schemas.openxmlformats.org/officeDocument/2006/relationships/hyperlink" Target="https://isomer-user-content.by.gov.sg/3/6d240639-e156-403e-bb26-1bdddfe0af6f/NPHS%202025%20Survey%20Report_Final.pdf" TargetMode="External"/><Relationship Id="rId37" Type="http://schemas.openxmlformats.org/officeDocument/2006/relationships/hyperlink" Target="https://www.moh.gov.sg/others/resources-and-statistics/health-facilities/" TargetMode="External"/><Relationship Id="rId38" Type="http://schemas.openxmlformats.org/officeDocument/2006/relationships/hyperlink" Target="https://www.moh.gov.sg/others/resources-and-statistics/beds-in-inpatient-facilities-and-places-in-non-residential-long-term-care-facilities/" TargetMode="External"/><Relationship Id="rId39" Type="http://schemas.openxmlformats.org/officeDocument/2006/relationships/hyperlink" Target="https://www.moh.gov.sg/managing-expenses/keeping-healthcare-affordable/managing-medical-bills/" TargetMode="External"/><Relationship Id="rId40" Type="http://schemas.openxmlformats.org/officeDocument/2006/relationships/hyperlink" Target="https://www.moh.gov.sg/managing-expenses/bills-and-fee-benchmarks/hospital-bills-and-fee-benchmarks/" TargetMode="External"/><Relationship Id="rId41" Type="http://schemas.openxmlformats.org/officeDocument/2006/relationships/hyperlink" Target="https://www.rafflesmedicalgroup.com/services/hospital/international-patients/international-patient-services/" TargetMode="External"/><Relationship Id="rId42" Type="http://schemas.openxmlformats.org/officeDocument/2006/relationships/hyperlink" Target="https://www.moh.gov.sg/others/health-regulation/healthcare-services-regulation-and-licensing/" TargetMode="External"/><Relationship Id="rId43" Type="http://schemas.openxmlformats.org/officeDocument/2006/relationships/hyperlink" Target="https://databank.worldbank.org/reports.aspx?country=SGP&amp;series=SH.XPD.CHEX.PC.CD&amp;source=2" TargetMode="External"/><Relationship Id="rId44" Type="http://schemas.openxmlformats.org/officeDocument/2006/relationships/hyperlink" Target="https://www.moh.gov.sg/others/resources-and-statistics/government-health-expenditure-and-healthcare-financing/" TargetMode="External"/><Relationship Id="rId45" Type="http://schemas.openxmlformats.org/officeDocument/2006/relationships/hyperlink" Target="https://www.oecd.org/en/publications/health-at-a-glance-2025_8f9e3f98-en/full-report/indicator-overview-country-dashboards-and-major-trends_368ac397.html" TargetMode="External"/><Relationship Id="rId46" Type="http://schemas.openxmlformats.org/officeDocument/2006/relationships/hyperlink" Target="https://www.moh.gov.sg/managing-expenses/schemes-and-subsidies/medishield-life/medishield-life-scheme-act/" TargetMode="External"/><Relationship Id="rId47" Type="http://schemas.openxmlformats.org/officeDocument/2006/relationships/hyperlink" Target="https://www.moh.gov.sg/others/resources-and-statistics/health-manpower/" TargetMode="External"/><Relationship Id="rId48" Type="http://schemas.openxmlformats.org/officeDocument/2006/relationships/hyperlink" Target="https://www.moh.gov.sg/newsroom/current-healthcare-workforce-strength-compared-against-projected-service-demand/" TargetMode="External"/><Relationship Id="rId49" Type="http://schemas.openxmlformats.org/officeDocument/2006/relationships/hyperlink" Target="https://medicine.nus.edu.sg/prospective-students/bachelor-of-medicine-and-bachelor-of-surgery-mbbs/" TargetMode="External"/><Relationship Id="rId50" Type="http://schemas.openxmlformats.org/officeDocument/2006/relationships/hyperlink" Target="https://www.ntu.edu.sg/education/undergraduate-programme/bachelor-of-medicine-and-bachelor-of-surgery-(mbbs)" TargetMode="External"/><Relationship Id="rId51" Type="http://schemas.openxmlformats.org/officeDocument/2006/relationships/hyperlink" Target="https://www.duke-nus.edu.sg/education/our-programmes/md-programme" TargetMode="External"/><Relationship Id="rId52" Type="http://schemas.openxmlformats.org/officeDocument/2006/relationships/hyperlink" Target="https://www.smc.gov.sg/for-professionals/apply-for-registration/provisional-registration/" TargetMode="External"/><Relationship Id="rId53" Type="http://schemas.openxmlformats.org/officeDocument/2006/relationships/hyperlink" Target="https://medschool.duke.edu/education/international-experiences/office-duke-nus-affairs/about-partnership" TargetMode="External"/><Relationship Id="rId54" Type="http://schemas.openxmlformats.org/officeDocument/2006/relationships/hyperlink" Target="https://www.singhealth.com.sg/news/announcements/nhcs-and-mayo-clinic-to-advance-cardiovascular-care-and-research" TargetMode="External"/><Relationship Id="rId55" Type="http://schemas.openxmlformats.org/officeDocument/2006/relationships/image" Target="media/image3.png"/><Relationship Id="rId56" Type="http://schemas.openxmlformats.org/officeDocument/2006/relationships/hyperlink" Target="https://www.cedars-sinai.org/newsroom/cedars-sinai-guerin-childrens-launches-multinational-genomics-study-for-nicu-babies/" TargetMode="External"/><Relationship Id="rId57" Type="http://schemas.openxmlformats.org/officeDocument/2006/relationships/hyperlink" Target="https://scholars.duke.edu/publication/1667513" TargetMode="External"/><Relationship Id="rId58" Type="http://schemas.openxmlformats.org/officeDocument/2006/relationships/hyperlink" Target="https://news.nus.edu.sg/duke-and-nus-reaffirm-commitment-to-duke-nus-partnership-with-agreement-renewal/" TargetMode="External"/><Relationship Id="rId59" Type="http://schemas.openxmlformats.org/officeDocument/2006/relationships/hyperlink" Target="https://medicine.nus.edu.sg/news/nus-yong-loo-lin-school-of-medicine-and-harvard-t-h-chan-school-of-public-health-launch-womens-health-initiative/" TargetMode="External"/><Relationship Id="rId60" Type="http://schemas.openxmlformats.org/officeDocument/2006/relationships/hyperlink" Target="https://hsph.harvard.edu/nutrition/events/womens-health-conference-2026/" TargetMode="External"/><Relationship Id="rId61" Type="http://schemas.openxmlformats.org/officeDocument/2006/relationships/hyperlink" Target="https://www.prnewswire.com/apac/news-releases/singhealth-launches-global-network-for-world-class-healthcare-administrator-immersion-and-development-302849472.html" TargetMode="External"/><Relationship Id="rId62" Type="http://schemas.openxmlformats.org/officeDocument/2006/relationships/hyperlink" Target="https://www.singhealthacademy.edu.sg/singapore-healthcare-management/shm2026/programme" TargetMode="External"/><Relationship Id="rId63" Type="http://schemas.openxmlformats.org/officeDocument/2006/relationships/hyperlink" Target="https://en.prnasia.com/releases/apac/singhealth-launches-global-network-for-world-class-healthcare-administrator-immersion-and-development-543763.shtml" TargetMode="External"/><Relationship Id="rId64" Type="http://schemas.openxmlformats.org/officeDocument/2006/relationships/hyperlink" Target="https://www.michiganmedicine.org/giving/areas-support/giving-csi-singapore-rogel-cancer-center-partnership" TargetMode="External"/><Relationship Id="rId65" Type="http://schemas.openxmlformats.org/officeDocument/2006/relationships/hyperlink" Target="https://www.michiganmedicine.org/news-release/u-m-partner-singapore-hospital-cancer-center" TargetMode="External"/><Relationship Id="rId66" Type="http://schemas.openxmlformats.org/officeDocument/2006/relationships/hyperlink" Target="https://medschool.umich.edu/medical-school-news/growing-collaborations-partnerships-singapore" TargetMode="External"/><Relationship Id="rId67" Type="http://schemas.openxmlformats.org/officeDocument/2006/relationships/hyperlink" Target="https://www.hematology.org/meetings/annual-meeting?ID=102850" TargetMode="External"/><Relationship Id="rId68" Type="http://schemas.openxmlformats.org/officeDocument/2006/relationships/hyperlink" Target="https://www.cfps.org.sg/assets/Annual-Report/AR-2024-2025/CFPS-AnnReport2025.pdf" TargetMode="External"/><Relationship Id="rId69" Type="http://schemas.openxmlformats.org/officeDocument/2006/relationships/hyperlink" Target="https://www.cfps.org.sg/publications/the-college-mirror/download/124" TargetMode="External"/><Relationship Id="rId70" Type="http://schemas.openxmlformats.org/officeDocument/2006/relationships/hyperlink" Target="https://www.mountsinai.org/about/international/programs" TargetMode="External"/><Relationship Id="rId71" Type="http://schemas.openxmlformats.org/officeDocument/2006/relationships/hyperlink" Target="https://www.snec.com.sg/news/announcements/snec-seri-and-stanford-university-partner-to-boost-ophthalmology-education-clinical-care-and-research" TargetMode="External"/><Relationship Id="rId72" Type="http://schemas.openxmlformats.org/officeDocument/2006/relationships/hyperlink" Target="https://biodesign.stanford.edu/our-impact/stories/singapore-biodesign-affiliate-status.html" TargetMode="External"/><Relationship Id="rId73" Type="http://schemas.openxmlformats.org/officeDocument/2006/relationships/hyperlink" Target="https://www.a-star.edu.sg/sb/community_events/partnerships" TargetMode="External"/><Relationship Id="rId74" Type="http://schemas.openxmlformats.org/officeDocument/2006/relationships/hyperlink" Target="https://med.stanford.edu/ophthalmology/news-media/annual-reports/annualreport2025/a-global-education.html" TargetMode="External"/><Relationship Id="rId75" Type="http://schemas.openxmlformats.org/officeDocument/2006/relationships/hyperlink" Target="https://www.cuhkmc.hk/event/cuhk-medical-centre-joins-global-singhealth-fellowship-network-empowering-healthcare-leaders-through-cross-border-immersion-and-exchange" TargetMode="External"/><Relationship Id="rId76" Type="http://schemas.openxmlformats.org/officeDocument/2006/relationships/hyperlink" Target="https://www.ntu.edu.sg/docs/librariesprovider77/lkc-mbbs/programme-specification-of-imperial-ntu-mbbs-(years-3-5)-for-ay2025-26.pdf?sfvrsn=3a6e7785_1" TargetMode="External"/><Relationship Id="rId77" Type="http://schemas.openxmlformats.org/officeDocument/2006/relationships/hyperlink" Target="https://www.imperial.ac.uk/news/235334/imperial-ntu-singapore-explore-collaborations-after/" TargetMode="External"/><Relationship Id="rId78" Type="http://schemas.openxmlformats.org/officeDocument/2006/relationships/hyperlink" Target="https://www.karolinskahospital.com/news/singhealth-delegation-visits-karolinska-university-hospital-to-shape-the-future-of-sustainable-healthcare/" TargetMode="External"/><Relationship Id="rId79" Type="http://schemas.openxmlformats.org/officeDocument/2006/relationships/hyperlink" Target="https://www.ncc.go.jp/en/information/2026/0729/index.html" TargetMode="External"/><Relationship Id="rId80" Type="http://schemas.openxmlformats.org/officeDocument/2006/relationships/hyperlink" Target="https://www.nuhs.edu.sg/about-nuhs/news-and-stories/news-and-stories-details/the-national-university-hospital-and-ruijin-hospital--shanghai-jiao-tong-university-school-of-medicine-establish-key-partnership-for-collaborative-healthcare-innovations" TargetMode="External"/><Relationship Id="rId81" Type="http://schemas.openxmlformats.org/officeDocument/2006/relationships/hyperlink" Target="https://www.shsmu.edu.cn/english/info/1375/5041.htm" TargetMode="External"/><Relationship Id="rId82" Type="http://schemas.openxmlformats.org/officeDocument/2006/relationships/hyperlink" Target="https://medicine.nus.edu.sg/news/11th-nus-cambridge-joint-symposium-on-climate-and-heat-health-confronting-global-challenges-amidst-escalating-temperatures/" TargetMode="External"/><Relationship Id="rId83" Type="http://schemas.openxmlformats.org/officeDocument/2006/relationships/hyperlink" Target="https://medicine.nus.edu.sg/trp/human-potential/events/nus-cambridge-joint-symposium-climate-and-heat-health/" TargetMode="External"/><Relationship Id="rId84" Type="http://schemas.openxmlformats.org/officeDocument/2006/relationships/hyperlink" Target="https://www.goodtrials.org/good-trials-prism-partners-forum-convenes-in-switzerland/" TargetMode="External"/><Relationship Id="rId85" Type="http://schemas.openxmlformats.org/officeDocument/2006/relationships/hyperlink" Target="https://www.goodtrials.org/the-collaborative-joins-forces-with-leading-clinical-trial-networks-to-improve-clinical-research-in-low-resource-settings/" TargetMode="External"/><Relationship Id="rId86" Type="http://schemas.openxmlformats.org/officeDocument/2006/relationships/hyperlink" Target="https://sph.nus.edu.sg/news/advancing-clinical-evidence-in-infectious-diseases-advance-id/" TargetMode="External"/><Relationship Id="rId87" Type="http://schemas.openxmlformats.org/officeDocument/2006/relationships/hyperlink" Target="https://www.oucru.org/good-trials-prism/" TargetMode="External"/><Relationship Id="rId88" Type="http://schemas.openxmlformats.org/officeDocument/2006/relationships/hyperlink" Target="https://www.moh.gov.sg/newsroom/health-sciences-authority--amendment--and-other-matters-bill-to-consolidate-health-regulatory-functions/" TargetMode="External"/><Relationship Id="rId89" Type="http://schemas.openxmlformats.org/officeDocument/2006/relationships/hyperlink" Target="https://www.moh.gov.sg/newsroom/speech-by-mr-tan-kiat-how--senior-minister-of-state--ministry-of-digital-development-and-information---ministry-of-health--at-healthtechx-asia--6-may-20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DC1E34"/>
      </a:accent1>
      <a:accent2>
        <a:srgbClr val="C0504D"/>
      </a:accent2>
      <a:accent3>
        <a:srgbClr val="9BBB59"/>
      </a:accent3>
      <a:accent4>
        <a:srgbClr val="8064A2"/>
      </a:accent4>
      <a:accent5>
        <a:srgbClr val="4BACC6"/>
      </a:accent5>
      <a:accent6>
        <a:srgbClr val="F79646"/>
      </a:accent6>
      <a:hlink>
        <a:srgbClr val="DC1E34"/>
      </a:hlink>
      <a:folHlink>
        <a:srgbClr val="DC1E34"/>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Country profile</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