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0" w:line="2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18"/>
          <w:szCs w:val="18"/>
          <w:b w:val="1"/>
        </w:rPr>
        <w:t>COUNTRY PROFILE AND MARKET INTELLIGENCE</w:t>
      </w:r>
    </w:p>
    <w:p>
      <w:pPr>
        <w:pStyle w:val="Title"/>
        <w:widowControl/>
        <w:spacing w:before="0" w:after="80" w:line="70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60"/>
          <w:szCs w:val="60"/>
          <w:b w:val="1"/>
        </w:rPr>
        <w:t>Singapore</w:t>
      </w:r>
    </w:p>
    <w:p>
      <w:pPr>
        <w:widowControl/>
        <w:spacing w:before="0" w:after="300" w:line="340" w:lineRule="exact"/>
        <w:ind w:left="0" w:firstLine="0" w:right="0"/>
        <w:jc w:val="left"/>
      </w:pPr>
      <w:r>
        <w:rPr>
          <w:rFonts w:ascii="Arial" w:hAnsi="Arial" w:eastAsia="Arial" w:cs="Arial"/>
          <w:color w:val="242424"/>
          <w:sz w:val="26"/>
          <w:szCs w:val="26"/>
        </w:rPr>
        <w:t>Executive summary</w:t>
      </w:r>
    </w:p>
    <w:p>
      <w:pPr>
        <w:keepNext/>
        <w:spacing w:after="120" w:before="60" w:line="240" w:lineRule="auto"/>
        <w:ind w:left="0" w:firstLine="0" w:right="0"/>
      </w:pPr>
      <w:r>
        <w:drawing>
          <wp:inline xmlns:a="http://schemas.openxmlformats.org/drawingml/2006/main" xmlns:pic="http://schemas.openxmlformats.org/drawingml/2006/picture" distL="0" distR="0" distT="0" distB="0">
            <wp:extent cx="6400800" cy="3598536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ngapor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8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0" w:after="200" w:line="228" w:lineRule="exact"/>
        <w:ind w:left="0" w:firstLine="0" w:right="0"/>
        <w:jc w:val="right"/>
      </w:pPr>
      <w:r>
        <w:rPr>
          <w:rFonts w:ascii="Arial" w:hAnsi="Arial" w:eastAsia="Arial" w:cs="Arial"/>
          <w:color w:val="616161"/>
          <w:sz w:val="18"/>
          <w:szCs w:val="18"/>
        </w:rPr>
        <w:t>AI-generated depiction of Marina Bay Sands and the ArtScience Museum; not a photograph of the site.</w:t>
      </w:r>
    </w:p>
    <w:p>
      <w:pPr>
        <w:pStyle w:val="Heading2"/>
        <w:keepNext/>
        <w:keepLines/>
        <w:widowControl/>
        <w:spacing w:before="200" w:after="140" w:line="3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5"/>
          <w:szCs w:val="25"/>
          <w:b w:val="1"/>
        </w:rPr>
        <w:t>Contents</w:t>
      </w:r>
    </w:p>
    <w:p>
      <w:pPr>
        <w:widowControl/>
        <w:tabs>
          <w:tab w:pos="10080" w:val="right" w:leader="dot"/>
        </w:tabs>
        <w:spacing w:before="0" w:after="60" w:line="280" w:lineRule="exact"/>
        <w:ind w:left="0" w:firstLine="0" w:right="0"/>
        <w:jc w:val="left"/>
      </w:pPr>
      <w:hyperlink w:anchor="glance">
        <w:r>
          <w:rPr>
            <w:rFonts w:ascii="Arial" w:hAnsi="Arial" w:eastAsia="Arial" w:cs="Arial"/>
            <w:color w:val="242424"/>
            <w:sz w:val="21"/>
            <w:szCs w:val="21"/>
          </w:rPr>
          <w:t xml:space="preserve">At a glance</w:t>
        </w:r>
      </w:hyperlink>
      <w:r>
        <w:rPr>
          <w:rFonts w:ascii="Arial" w:hAnsi="Arial" w:eastAsia="Arial" w:cs="Arial"/>
          <w:color w:val="242424"/>
          <w:sz w:val="21"/>
          <w:szCs w:val="21"/>
        </w:rPr>
        <w:tab/>
        <w:t>2</w:t>
      </w:r>
    </w:p>
    <w:p>
      <w:pPr>
        <w:widowControl/>
        <w:tabs>
          <w:tab w:pos="10080" w:val="right" w:leader="dot"/>
        </w:tabs>
        <w:spacing w:before="0" w:after="60" w:line="280" w:lineRule="exact"/>
        <w:ind w:left="0" w:firstLine="0" w:right="0"/>
        <w:jc w:val="left"/>
      </w:pPr>
      <w:hyperlink w:anchor="health">
        <w:r>
          <w:rPr>
            <w:rFonts w:ascii="Arial" w:hAnsi="Arial" w:eastAsia="Arial" w:cs="Arial"/>
            <w:color w:val="242424"/>
            <w:sz w:val="21"/>
            <w:szCs w:val="21"/>
          </w:rPr>
          <w:t xml:space="preserve">Health system</w:t>
        </w:r>
      </w:hyperlink>
      <w:r>
        <w:rPr>
          <w:rFonts w:ascii="Arial" w:hAnsi="Arial" w:eastAsia="Arial" w:cs="Arial"/>
          <w:color w:val="242424"/>
          <w:sz w:val="21"/>
          <w:szCs w:val="21"/>
        </w:rPr>
        <w:tab/>
        <w:t>3</w:t>
      </w:r>
    </w:p>
    <w:p>
      <w:pPr>
        <w:widowControl/>
        <w:tabs>
          <w:tab w:pos="10080" w:val="right" w:leader="dot"/>
        </w:tabs>
        <w:spacing w:before="0" w:after="60" w:line="280" w:lineRule="exact"/>
        <w:ind w:left="0" w:firstLine="0" w:right="0"/>
        <w:jc w:val="left"/>
      </w:pPr>
      <w:hyperlink w:anchor="market">
        <w:r>
          <w:rPr>
            <w:rFonts w:ascii="Arial" w:hAnsi="Arial" w:eastAsia="Arial" w:cs="Arial"/>
            <w:color w:val="242424"/>
            <w:sz w:val="21"/>
            <w:szCs w:val="21"/>
          </w:rPr>
          <w:t xml:space="preserve">Market and competition</w:t>
        </w:r>
      </w:hyperlink>
      <w:r>
        <w:rPr>
          <w:rFonts w:ascii="Arial" w:hAnsi="Arial" w:eastAsia="Arial" w:cs="Arial"/>
          <w:color w:val="242424"/>
          <w:sz w:val="21"/>
          <w:szCs w:val="21"/>
        </w:rPr>
        <w:tab/>
        <w:t>4</w:t>
      </w:r>
    </w:p>
    <w:p>
      <w:pPr>
        <w:widowControl/>
        <w:tabs>
          <w:tab w:pos="10080" w:val="right" w:leader="dot"/>
        </w:tabs>
        <w:spacing w:before="0" w:after="60" w:line="280" w:lineRule="exact"/>
        <w:ind w:left="0" w:firstLine="0" w:right="0"/>
        <w:jc w:val="left"/>
      </w:pPr>
      <w:hyperlink w:anchor="institutions">
        <w:r>
          <w:rPr>
            <w:rFonts w:ascii="Arial" w:hAnsi="Arial" w:eastAsia="Arial" w:cs="Arial"/>
            <w:color w:val="242424"/>
            <w:sz w:val="21"/>
            <w:szCs w:val="21"/>
          </w:rPr>
          <w:t xml:space="preserve">Institution directory</w:t>
        </w:r>
      </w:hyperlink>
      <w:r>
        <w:rPr>
          <w:rFonts w:ascii="Arial" w:hAnsi="Arial" w:eastAsia="Arial" w:cs="Arial"/>
          <w:color w:val="242424"/>
          <w:sz w:val="21"/>
          <w:szCs w:val="21"/>
        </w:rPr>
        <w:tab/>
        <w:t>5</w:t>
      </w:r>
    </w:p>
    <w:p>
      <w:pPr>
        <w:widowControl/>
        <w:tabs>
          <w:tab w:pos="10080" w:val="right" w:leader="dot"/>
        </w:tabs>
        <w:spacing w:before="0" w:after="60" w:line="280" w:lineRule="exact"/>
        <w:ind w:left="0" w:firstLine="0" w:right="0"/>
        <w:jc w:val="left"/>
      </w:pPr>
      <w:hyperlink w:anchor="position">
        <w:r>
          <w:rPr>
            <w:rFonts w:ascii="Arial" w:hAnsi="Arial" w:eastAsia="Arial" w:cs="Arial"/>
            <w:color w:val="242424"/>
            <w:sz w:val="21"/>
            <w:szCs w:val="21"/>
          </w:rPr>
          <w:t xml:space="preserve">CSI position and risks</w:t>
        </w:r>
      </w:hyperlink>
      <w:r>
        <w:rPr>
          <w:rFonts w:ascii="Arial" w:hAnsi="Arial" w:eastAsia="Arial" w:cs="Arial"/>
          <w:color w:val="242424"/>
          <w:sz w:val="21"/>
          <w:szCs w:val="21"/>
        </w:rPr>
        <w:tab/>
        <w:t>6</w:t>
      </w:r>
    </w:p>
    <w:p>
      <w:pPr>
        <w:keepLines/>
        <w:widowControl/>
        <w:spacing w:before="0" w:after="160" w:line="228" w:lineRule="exact"/>
        <w:ind w:left="0" w:firstLine="0" w:right="0"/>
        <w:jc w:val="left"/>
      </w:pPr>
      <w:r>
        <w:rPr>
          <w:rFonts w:ascii="Arial" w:hAnsi="Arial" w:eastAsia="Arial" w:cs="Arial"/>
          <w:color w:val="616161"/>
          <w:sz w:val="18"/>
          <w:szCs w:val="18"/>
        </w:rPr>
        <w:t>Prepared 7 October 2026. Analyst review draft. Numbered citations refer to Singapore_Profile_DRAFT_SOURCES.docx.</w:t>
      </w:r>
    </w:p>
    <w:p>
      <w:pPr>
        <w:spacing w:before="0" w:after="0" w:line="20" w:lineRule="exact"/>
      </w:pPr>
      <w:r>
        <w:rPr>
          <w:rFonts w:ascii="Arial" w:hAnsi="Arial" w:eastAsia="Arial" w:cs="Arial"/>
          <w:color w:val="242424"/>
          <w:sz w:val="2"/>
          <w:szCs w:val="2"/>
        </w:rPr>
        <w:br w:type="page"/>
      </w:r>
    </w:p>
    <w:p>
      <w:pPr>
        <w:pStyle w:val="Heading1"/>
        <w:keepNext/>
        <w:keepLines/>
        <w:widowControl/>
        <w:spacing w:before="0" w:after="260" w:line="500" w:lineRule="exact"/>
        <w:ind w:left="0" w:firstLine="0" w:right="0"/>
        <w:jc w:val="left"/>
      </w:pPr>
      <w:bookmarkStart w:id="718" w:name="glance"/>
      <w:r>
        <w:rPr>
          <w:rFonts w:ascii="Arial" w:hAnsi="Arial" w:eastAsia="Arial" w:cs="Arial"/>
          <w:color w:val="DC1E34"/>
          <w:sz w:val="42"/>
          <w:szCs w:val="42"/>
          <w:b w:val="1"/>
        </w:rPr>
        <w:t>At a glance</w:t>
      </w:r>
      <w:bookmarkEnd w:id="718"/>
    </w:p>
    <w:tbl>
      <w:tblPr>
        <w:tblW w:type="auto" w:w="0"/>
        <w:jc w:val="lef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val="clear" w:color="auto" w:fill="F7F7F7"/>
            <w:tcMar>
              <w:top w:type="dxa" w:w="95"/>
              <w:bottom w:type="dxa" w:w="95"/>
              <w:left w:type="dxa" w:w="130"/>
              <w:right w:type="dxa" w:w="130"/>
            </w:tcMar>
          </w:tcPr>
          <w:p>
            <w:pPr>
              <w:widowControl/>
              <w:spacing w:before="0" w:after="80" w:line="380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32"/>
                <w:szCs w:val="32"/>
                <w:b w:val="1"/>
              </w:rPr>
              <w:t>6.21M</w:t>
            </w:r>
          </w:p>
          <w:p>
            <w:pPr>
              <w:widowControl/>
              <w:spacing w:before="0" w:after="0" w:line="224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616161"/>
                <w:sz w:val="18"/>
                <w:szCs w:val="18"/>
              </w:rPr>
              <w:t>Total population, June 2026</w:t>
            </w:r>
            <w:hyperlink r:id="rId16">
              <w:r>
                <w:rPr>
                  <w:rFonts w:ascii="Arial" w:hAnsi="Arial" w:eastAsia="Arial" w:cs="Arial"/>
                  <w:vertAlign w:val="superscript"/>
                  <w:color w:val="DC1E34"/>
                  <w:sz w:val="16"/>
                  <w:szCs w:val="16"/>
                </w:rPr>
                <w:t xml:space="preserve">3</w:t>
              </w:r>
            </w:hyperlink>
          </w:p>
        </w:tc>
        <w:tc>
          <w:tcPr>
            <w:tcW w:type="dxa" w:w="5040"/>
            <w:vAlign w:val="center"/>
            <w:shd w:val="clear" w:color="auto" w:fill="F7F7F7"/>
            <w:tcMar>
              <w:top w:type="dxa" w:w="95"/>
              <w:bottom w:type="dxa" w:w="95"/>
              <w:left w:type="dxa" w:w="130"/>
              <w:right w:type="dxa" w:w="130"/>
            </w:tcMar>
          </w:tcPr>
          <w:p>
            <w:pPr>
              <w:widowControl/>
              <w:spacing w:before="0" w:after="80" w:line="380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32"/>
                <w:szCs w:val="32"/>
                <w:b w:val="1"/>
              </w:rPr>
              <w:t>19.5%</w:t>
            </w:r>
          </w:p>
          <w:p>
            <w:pPr>
              <w:widowControl/>
              <w:spacing w:before="0" w:after="0" w:line="224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616161"/>
                <w:sz w:val="18"/>
                <w:szCs w:val="18"/>
              </w:rPr>
              <w:t>Residents aged 65+, June 2026</w:t>
            </w:r>
            <w:hyperlink r:id="rId17">
              <w:r>
                <w:rPr>
                  <w:rFonts w:ascii="Arial" w:hAnsi="Arial" w:eastAsia="Arial" w:cs="Arial"/>
                  <w:vertAlign w:val="superscript"/>
                  <w:color w:val="DC1E34"/>
                  <w:sz w:val="16"/>
                  <w:szCs w:val="16"/>
                </w:rPr>
                <w:t xml:space="preserve">7</w:t>
              </w:r>
            </w:hyperlink>
          </w:p>
        </w:tc>
      </w:tr>
      <w:tr>
        <w:trPr>
          <w:cantSplit/>
        </w:trPr>
        <w:tc>
          <w:tcPr>
            <w:tcW w:type="dxa" w:w="5040"/>
            <w:vAlign w:val="center"/>
            <w:shd w:val="clear" w:color="auto" w:fill="F7F7F7"/>
            <w:tcMar>
              <w:top w:type="dxa" w:w="95"/>
              <w:bottom w:type="dxa" w:w="95"/>
              <w:left w:type="dxa" w:w="130"/>
              <w:right w:type="dxa" w:w="130"/>
            </w:tcMar>
          </w:tcPr>
          <w:p>
            <w:pPr>
              <w:widowControl/>
              <w:spacing w:before="0" w:after="80" w:line="380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32"/>
                <w:szCs w:val="32"/>
                <w:b w:val="1"/>
              </w:rPr>
              <w:t>83.9 years</w:t>
            </w:r>
          </w:p>
          <w:p>
            <w:pPr>
              <w:widowControl/>
              <w:spacing w:before="0" w:after="0" w:line="224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616161"/>
                <w:sz w:val="18"/>
                <w:szCs w:val="18"/>
              </w:rPr>
              <w:t>Resident life expectancy at birth, 2025</w:t>
            </w:r>
            <w:hyperlink r:id="rId17">
              <w:r>
                <w:rPr>
                  <w:rFonts w:ascii="Arial" w:hAnsi="Arial" w:eastAsia="Arial" w:cs="Arial"/>
                  <w:vertAlign w:val="superscript"/>
                  <w:color w:val="DC1E34"/>
                  <w:sz w:val="16"/>
                  <w:szCs w:val="16"/>
                </w:rPr>
                <w:t xml:space="preserve">7</w:t>
              </w:r>
            </w:hyperlink>
          </w:p>
        </w:tc>
        <w:tc>
          <w:tcPr>
            <w:tcW w:type="dxa" w:w="5040"/>
            <w:vAlign w:val="center"/>
            <w:shd w:val="clear" w:color="auto" w:fill="F7F7F7"/>
            <w:tcMar>
              <w:top w:type="dxa" w:w="95"/>
              <w:bottom w:type="dxa" w:w="95"/>
              <w:left w:type="dxa" w:w="130"/>
              <w:right w:type="dxa" w:w="130"/>
            </w:tcMar>
          </w:tcPr>
          <w:p>
            <w:pPr>
              <w:widowControl/>
              <w:spacing w:before="0" w:after="80" w:line="380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32"/>
                <w:szCs w:val="32"/>
                <w:b w:val="1"/>
              </w:rPr>
              <w:t>Int$163,354</w:t>
            </w:r>
          </w:p>
          <w:p>
            <w:pPr>
              <w:widowControl/>
              <w:spacing w:before="0" w:after="0" w:line="224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616161"/>
                <w:sz w:val="18"/>
                <w:szCs w:val="18"/>
              </w:rPr>
              <w:t>GDP per capita, PPP, 2025</w:t>
            </w:r>
            <w:hyperlink r:id="rId18">
              <w:r>
                <w:rPr>
                  <w:rFonts w:ascii="Arial" w:hAnsi="Arial" w:eastAsia="Arial" w:cs="Arial"/>
                  <w:vertAlign w:val="superscript"/>
                  <w:color w:val="DC1E34"/>
                  <w:sz w:val="16"/>
                  <w:szCs w:val="16"/>
                </w:rPr>
                <w:t xml:space="preserve">5</w:t>
              </w:r>
            </w:hyperlink>
          </w:p>
        </w:tc>
      </w:tr>
      <w:tr>
        <w:trPr>
          <w:cantSplit/>
        </w:trPr>
        <w:tc>
          <w:tcPr>
            <w:tcW w:type="dxa" w:w="5040"/>
            <w:vAlign w:val="center"/>
            <w:shd w:val="clear" w:color="auto" w:fill="F7F7F7"/>
            <w:tcMar>
              <w:top w:type="dxa" w:w="95"/>
              <w:bottom w:type="dxa" w:w="95"/>
              <w:left w:type="dxa" w:w="130"/>
              <w:right w:type="dxa" w:w="130"/>
            </w:tcMar>
          </w:tcPr>
          <w:p>
            <w:pPr>
              <w:widowControl/>
              <w:spacing w:before="0" w:after="80" w:line="380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32"/>
                <w:szCs w:val="32"/>
                <w:b w:val="1"/>
              </w:rPr>
              <w:t>5.0%</w:t>
            </w:r>
          </w:p>
          <w:p>
            <w:pPr>
              <w:widowControl/>
              <w:spacing w:before="0" w:after="0" w:line="224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616161"/>
                <w:sz w:val="18"/>
                <w:szCs w:val="18"/>
              </w:rPr>
              <w:t>Real GDP growth, 2025</w:t>
            </w:r>
            <w:hyperlink r:id="rId19">
              <w:r>
                <w:rPr>
                  <w:rFonts w:ascii="Arial" w:hAnsi="Arial" w:eastAsia="Arial" w:cs="Arial"/>
                  <w:vertAlign w:val="superscript"/>
                  <w:color w:val="DC1E34"/>
                  <w:sz w:val="16"/>
                  <w:szCs w:val="16"/>
                </w:rPr>
                <w:t xml:space="preserve">12</w:t>
              </w:r>
            </w:hyperlink>
          </w:p>
        </w:tc>
        <w:tc>
          <w:tcPr>
            <w:tcW w:type="dxa" w:w="5040"/>
            <w:vAlign w:val="center"/>
            <w:shd w:val="clear" w:color="auto" w:fill="F7F7F7"/>
            <w:tcMar>
              <w:top w:type="dxa" w:w="95"/>
              <w:bottom w:type="dxa" w:w="95"/>
              <w:left w:type="dxa" w:w="130"/>
              <w:right w:type="dxa" w:w="130"/>
            </w:tcMar>
          </w:tcPr>
          <w:p>
            <w:pPr>
              <w:widowControl/>
              <w:spacing w:before="0" w:after="80" w:line="380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32"/>
                <w:szCs w:val="32"/>
                <w:b w:val="1"/>
              </w:rPr>
              <w:t>US$3,922</w:t>
            </w:r>
          </w:p>
          <w:p>
            <w:pPr>
              <w:widowControl/>
              <w:spacing w:before="0" w:after="0" w:line="224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616161"/>
                <w:sz w:val="18"/>
                <w:szCs w:val="18"/>
              </w:rPr>
              <w:t>Current health spending per person, 2023</w:t>
            </w:r>
            <w:hyperlink r:id="rId20">
              <w:r>
                <w:rPr>
                  <w:rFonts w:ascii="Arial" w:hAnsi="Arial" w:eastAsia="Arial" w:cs="Arial"/>
                  <w:vertAlign w:val="superscript"/>
                  <w:color w:val="DC1E34"/>
                  <w:sz w:val="16"/>
                  <w:szCs w:val="16"/>
                </w:rPr>
                <w:t xml:space="preserve">26</w:t>
              </w:r>
            </w:hyperlink>
          </w:p>
        </w:tc>
      </w:tr>
      <w:tr>
        <w:trPr>
          <w:cantSplit/>
        </w:trPr>
        <w:tc>
          <w:tcPr>
            <w:tcW w:type="dxa" w:w="5040"/>
            <w:vAlign w:val="center"/>
            <w:shd w:val="clear" w:color="auto" w:fill="F7F7F7"/>
            <w:tcMar>
              <w:top w:type="dxa" w:w="95"/>
              <w:bottom w:type="dxa" w:w="95"/>
              <w:left w:type="dxa" w:w="130"/>
              <w:right w:type="dxa" w:w="130"/>
            </w:tcMar>
          </w:tcPr>
          <w:p>
            <w:pPr>
              <w:widowControl/>
              <w:spacing w:before="0" w:after="80" w:line="380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32"/>
                <w:szCs w:val="32"/>
                <w:b w:val="1"/>
              </w:rPr>
              <w:t>2.9</w:t>
            </w:r>
          </w:p>
          <w:p>
            <w:pPr>
              <w:widowControl/>
              <w:spacing w:before="0" w:after="0" w:line="224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616161"/>
                <w:sz w:val="18"/>
                <w:szCs w:val="18"/>
              </w:rPr>
              <w:t>Registered doctors per 1,000 total population, 2024</w:t>
            </w:r>
            <w:hyperlink r:id="rId21">
              <w:r>
                <w:rPr>
                  <w:rFonts w:ascii="Arial" w:hAnsi="Arial" w:eastAsia="Arial" w:cs="Arial"/>
                  <w:vertAlign w:val="superscript"/>
                  <w:color w:val="DC1E34"/>
                  <w:sz w:val="16"/>
                  <w:szCs w:val="16"/>
                </w:rPr>
                <w:t xml:space="preserve">30</w:t>
              </w:r>
            </w:hyperlink>
          </w:p>
        </w:tc>
        <w:tc>
          <w:tcPr>
            <w:tcW w:type="dxa" w:w="5040"/>
            <w:vAlign w:val="center"/>
            <w:shd w:val="clear" w:color="auto" w:fill="F7F7F7"/>
            <w:tcMar>
              <w:top w:type="dxa" w:w="95"/>
              <w:bottom w:type="dxa" w:w="95"/>
              <w:left w:type="dxa" w:w="130"/>
              <w:right w:type="dxa" w:w="130"/>
            </w:tcMar>
          </w:tcPr>
          <w:p>
            <w:pPr>
              <w:widowControl/>
              <w:spacing w:before="0" w:after="80" w:line="380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32"/>
                <w:szCs w:val="32"/>
                <w:b w:val="1"/>
              </w:rPr>
              <w:t>10,784</w:t>
            </w:r>
          </w:p>
          <w:p>
            <w:pPr>
              <w:widowControl/>
              <w:spacing w:before="0" w:after="0" w:line="224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616161"/>
                <w:sz w:val="18"/>
                <w:szCs w:val="18"/>
              </w:rPr>
              <w:t>Public acute hospital beds, 2025</w:t>
            </w:r>
            <w:hyperlink r:id="rId22">
              <w:r>
                <w:rPr>
                  <w:rFonts w:ascii="Arial" w:hAnsi="Arial" w:eastAsia="Arial" w:cs="Arial"/>
                  <w:vertAlign w:val="superscript"/>
                  <w:color w:val="DC1E34"/>
                  <w:sz w:val="16"/>
                  <w:szCs w:val="16"/>
                </w:rPr>
                <w:t xml:space="preserve">19</w:t>
              </w:r>
            </w:hyperlink>
          </w:p>
        </w:tc>
      </w:tr>
    </w:tbl>
    <w:p>
      <w:pPr>
        <w:pStyle w:val="Heading2"/>
        <w:keepNext/>
        <w:keepLines/>
        <w:widowControl/>
        <w:spacing w:before="200" w:after="140" w:line="3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5"/>
          <w:szCs w:val="25"/>
          <w:b w:val="1"/>
        </w:rPr>
        <w:t>Country background</w:t>
      </w:r>
    </w:p>
    <w:p>
      <w:pPr>
        <w:keepLines/>
        <w:widowControl/>
        <w:spacing w:before="0" w:after="120" w:line="288" w:lineRule="exact"/>
        <w:ind w:left="0" w:firstLine="0" w:right="0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Singapore is a city-state and parliamentary democratic republic, with Singapore as its capital.</w:t>
      </w:r>
      <w:hyperlink r:id="rId23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</w:t>
        </w:r>
      </w:hyperlink>
      <w:r>
        <w:rPr>
          <w:rFonts w:ascii="Arial" w:hAnsi="Arial" w:eastAsia="Arial" w:cs="Arial"/>
          <w:color w:val="242424"/>
          <w:sz w:val="22"/>
          <w:szCs w:val="22"/>
        </w:rPr>
        <w:t xml:space="preserve"> Prime Minister Lawrence Wong heads the government and holds the finance portfolio; President Tharman Shanmugaratnam is the non-partisan head of state.</w:t>
      </w:r>
      <w:hyperlink r:id="rId24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8,</w:t>
        </w:r>
      </w:hyperlink>
      <w:hyperlink r:id="rId25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9</w:t>
        </w:r>
      </w:hyperlink>
      <w:r>
        <w:rPr>
          <w:rFonts w:ascii="Arial" w:hAnsi="Arial" w:eastAsia="Arial" w:cs="Arial"/>
          <w:color w:val="242424"/>
          <w:sz w:val="22"/>
          <w:szCs w:val="22"/>
        </w:rPr>
        <w:t xml:space="preserve"> English, Malay, Mandarin and Tamil are official languages.</w:t>
      </w:r>
      <w:hyperlink r:id="rId26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2</w:t>
        </w:r>
      </w:hyperlink>
      <w:r>
        <w:rPr>
          <w:rFonts w:ascii="Arial" w:hAnsi="Arial" w:eastAsia="Arial" w:cs="Arial"/>
          <w:color w:val="242424"/>
          <w:sz w:val="22"/>
          <w:szCs w:val="22"/>
        </w:rPr>
        <w:t xml:space="preserve"> The economy generated S$789.5 billion (US$618 billion) in nominal GDP in 2025.</w:t>
      </w:r>
      <w:hyperlink r:id="rId19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12</w:t>
        </w:r>
      </w:hyperlink>
      <w:r>
        <w:rPr>
          <w:rFonts w:ascii="Arial" w:hAnsi="Arial" w:eastAsia="Arial" w:cs="Arial"/>
          <w:color w:val="242424"/>
          <w:sz w:val="22"/>
          <w:szCs w:val="22"/>
        </w:rPr>
        <w:t xml:space="preserve"> Its Economy 2030 strategy emphasizes advanced manufacturing, skills and technology adoption.</w:t>
      </w:r>
      <w:hyperlink r:id="rId27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14</w:t>
        </w:r>
      </w:hyperlink>
      <w:r>
        <w:rPr>
          <w:rFonts w:ascii="Arial" w:hAnsi="Arial" w:eastAsia="Arial" w:cs="Arial"/>
          <w:color w:val="242424"/>
          <w:sz w:val="22"/>
          <w:szCs w:val="22"/>
        </w:rPr>
        <w:t xml:space="preserve"> In August 2026, the government raised its full-year growth forecast to 4.5% to 5.5%, citing stronger global investment related to artificial intelligence.</w:t>
      </w:r>
      <w:hyperlink r:id="rId28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13</w:t>
        </w:r>
      </w:hyperlink>
    </w:p>
    <w:p>
      <w:pPr>
        <w:keepLines/>
        <w:widowControl/>
        <w:spacing w:before="0" w:after="120" w:line="288" w:lineRule="exact"/>
        <w:ind w:left="0" w:firstLine="0" w:right="0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Of 6.21 million people in June 2026, 4.23 million were residents, comprising citizens and permanent residents.</w:t>
      </w:r>
      <w:hyperlink r:id="rId16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</w:t>
        </w:r>
      </w:hyperlink>
      <w:r>
        <w:rPr>
          <w:rFonts w:ascii="Arial" w:hAnsi="Arial" w:eastAsia="Arial" w:cs="Arial"/>
          <w:color w:val="242424"/>
          <w:sz w:val="22"/>
          <w:szCs w:val="22"/>
        </w:rPr>
        <w:t xml:space="preserve"> Aging is a central healthcare demand driver: people aged 65 and older represented 19.5% of residents and 21.4% of citizens.</w:t>
      </w:r>
      <w:hyperlink r:id="rId16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3,</w:t>
        </w:r>
      </w:hyperlink>
      <w:hyperlink r:id="rId17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7</w:t>
        </w:r>
      </w:hyperlink>
      <w:r>
        <w:rPr>
          <w:rFonts w:ascii="Arial" w:hAnsi="Arial" w:eastAsia="Arial" w:cs="Arial"/>
          <w:color w:val="242424"/>
          <w:sz w:val="22"/>
          <w:szCs w:val="22"/>
        </w:rPr>
        <w:t xml:space="preserve"> The resident fertility rate fell to 0.87 births per woman in 2025.</w:t>
      </w:r>
      <w:hyperlink r:id="rId17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7</w:t>
        </w:r>
      </w:hyperlink>
      <w:r>
        <w:rPr>
          <w:rFonts w:ascii="Arial" w:hAnsi="Arial" w:eastAsia="Arial" w:cs="Arial"/>
          <w:color w:val="242424"/>
          <w:sz w:val="22"/>
          <w:szCs w:val="22"/>
        </w:rPr>
        <w:t xml:space="preserve"> Cancer, pneumonia and ischemic heart disease led recorded mortality in 2025, while national policy increasingly emphasizes prevention, community support and coordinated care.</w:t>
      </w:r>
      <w:hyperlink r:id="rId29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15,</w:t>
        </w:r>
      </w:hyperlink>
      <w:hyperlink r:id="rId30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21,</w:t>
        </w:r>
      </w:hyperlink>
      <w:hyperlink r:id="rId31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36</w:t>
        </w:r>
      </w:hyperlink>
    </w:p>
    <w:p>
      <w:pPr>
        <w:pStyle w:val="Heading2"/>
        <w:keepNext/>
        <w:keepLines/>
        <w:widowControl/>
        <w:spacing w:before="200" w:after="140" w:line="3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5"/>
          <w:szCs w:val="25"/>
          <w:b w:val="1"/>
        </w:rPr>
        <w:t>Key takeaways for CSI</w:t>
      </w:r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•</w:t>
        <w:tab/>
      </w:r>
      <w:r>
        <w:rPr>
          <w:rFonts w:ascii="Arial" w:hAnsi="Arial" w:eastAsia="Arial" w:cs="Arial"/>
          <w:color w:val="242424"/>
          <w:sz w:val="22"/>
          <w:szCs w:val="22"/>
        </w:rPr>
        <w:t>Three public healthcare clusters combine service delivery with regional population-health responsibilities.</w:t>
      </w:r>
      <w:hyperlink r:id="rId32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11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•</w:t>
        <w:tab/>
      </w:r>
      <w:r>
        <w:rPr>
          <w:rFonts w:ascii="Arial" w:hAnsi="Arial" w:eastAsia="Arial" w:cs="Arial"/>
          <w:color w:val="242424"/>
          <w:sz w:val="22"/>
          <w:szCs w:val="22"/>
        </w:rPr>
        <w:t>Healthier SG connects residents aged 40 and older with regular family doctors and prevention plans.</w:t>
      </w:r>
      <w:hyperlink r:id="rId30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21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•</w:t>
        <w:tab/>
      </w:r>
      <w:r>
        <w:rPr>
          <w:rFonts w:ascii="Arial" w:hAnsi="Arial" w:eastAsia="Arial" w:cs="Arial"/>
          <w:color w:val="242424"/>
          <w:sz w:val="22"/>
          <w:szCs w:val="22"/>
        </w:rPr>
        <w:t>MOH plans approximately 2,800 additional public acute and community beds by 2030.</w:t>
      </w:r>
      <w:hyperlink r:id="rId33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20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•</w:t>
        <w:tab/>
      </w:r>
      <w:r>
        <w:rPr>
          <w:rFonts w:ascii="Arial" w:hAnsi="Arial" w:eastAsia="Arial" w:cs="Arial"/>
          <w:color w:val="242424"/>
          <w:sz w:val="22"/>
          <w:szCs w:val="22"/>
        </w:rPr>
        <w:t>International academic relationships span medical education, cardiovascular research and specialist knowledge exchange.</w:t>
      </w:r>
      <w:hyperlink r:id="rId34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38,</w:t>
        </w:r>
      </w:hyperlink>
      <w:hyperlink r:id="rId35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39</w:t>
        </w:r>
      </w:hyperlink>
    </w:p>
    <w:p>
      <w:pPr>
        <w:spacing w:before="0" w:after="0" w:line="20" w:lineRule="exact"/>
      </w:pPr>
      <w:r>
        <w:rPr>
          <w:rFonts w:ascii="Arial" w:hAnsi="Arial" w:eastAsia="Arial" w:cs="Arial"/>
          <w:color w:val="242424"/>
          <w:sz w:val="2"/>
          <w:szCs w:val="2"/>
        </w:rPr>
        <w:br w:type="page"/>
      </w:r>
    </w:p>
    <w:p>
      <w:pPr>
        <w:pStyle w:val="Heading1"/>
        <w:keepNext/>
        <w:keepLines/>
        <w:widowControl/>
        <w:spacing w:before="0" w:after="260" w:line="500" w:lineRule="exact"/>
        <w:ind w:left="0" w:firstLine="0" w:right="0"/>
        <w:jc w:val="left"/>
      </w:pPr>
      <w:bookmarkStart w:id="730" w:name="health"/>
      <w:r>
        <w:rPr>
          <w:rFonts w:ascii="Arial" w:hAnsi="Arial" w:eastAsia="Arial" w:cs="Arial"/>
          <w:color w:val="DC1E34"/>
          <w:sz w:val="42"/>
          <w:szCs w:val="42"/>
          <w:b w:val="1"/>
        </w:rPr>
        <w:t>Health system</w:t>
      </w:r>
      <w:bookmarkEnd w:id="730"/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•</w:t>
        <w:tab/>
      </w:r>
      <w:r>
        <w:rPr>
          <w:rFonts w:ascii="Arial" w:hAnsi="Arial" w:eastAsia="Arial" w:cs="Arial"/>
          <w:color w:val="242424"/>
          <w:sz w:val="22"/>
          <w:szCs w:val="22"/>
        </w:rPr>
        <w:t>Financing combines public subsidies, compulsory medical savings, national catastrophic insurance and means-tested assistance.</w:t>
      </w:r>
      <w:hyperlink r:id="rId36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22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•</w:t>
        <w:tab/>
      </w:r>
      <w:r>
        <w:rPr>
          <w:rFonts w:ascii="Arial" w:hAnsi="Arial" w:eastAsia="Arial" w:cs="Arial"/>
          <w:color w:val="242424"/>
          <w:sz w:val="22"/>
          <w:szCs w:val="22"/>
        </w:rPr>
        <w:t>MediShield Life provides lifelong coverage for citizens and permanent residents.</w:t>
      </w:r>
      <w:hyperlink r:id="rId37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29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•</w:t>
        <w:tab/>
      </w:r>
      <w:r>
        <w:rPr>
          <w:rFonts w:ascii="Arial" w:hAnsi="Arial" w:eastAsia="Arial" w:cs="Arial"/>
          <w:color w:val="242424"/>
          <w:sz w:val="22"/>
          <w:szCs w:val="22"/>
        </w:rPr>
        <w:t>Registered workforce ratios include inactive practitioners and differ from OECD practicing-workforce measures.</w:t>
      </w:r>
      <w:hyperlink r:id="rId38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28,</w:t>
        </w:r>
      </w:hyperlink>
      <w:hyperlink r:id="rId21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30</w:t>
        </w:r>
      </w:hyperlink>
    </w:p>
    <w:p>
      <w:pPr>
        <w:keepNext/>
        <w:widowControl/>
        <w:spacing w:before="120" w:after="80" w:line="260" w:lineRule="exact"/>
        <w:ind w:left="0" w:firstLine="0" w:right="0"/>
        <w:jc w:val="left"/>
      </w:pPr>
      <w:r>
        <w:rPr>
          <w:rFonts w:ascii="Arial" w:hAnsi="Arial" w:eastAsia="Arial" w:cs="Arial"/>
          <w:color w:val="242424"/>
          <w:sz w:val="21"/>
          <w:szCs w:val="21"/>
          <w:b w:val="1"/>
        </w:rPr>
        <w:t>Health spending per person, 2016 to 2023</w:t>
      </w:r>
    </w:p>
    <w:p>
      <w:pPr>
        <w:keepNext/>
        <w:spacing w:after="120" w:before="60" w:line="240" w:lineRule="auto"/>
        <w:ind w:left="0" w:firstLine="0" w:right="0"/>
      </w:pPr>
      <w:r>
        <w:drawing>
          <wp:inline xmlns:a="http://schemas.openxmlformats.org/drawingml/2006/main" xmlns:pic="http://schemas.openxmlformats.org/drawingml/2006/picture" distL="0" distR="0" distT="0" distB="0">
            <wp:extent cx="6400800" cy="2011680"/>
            <wp:effectExtent l="0" t="0" r="0" b="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nd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0" w:after="100" w:line="210" w:lineRule="exact"/>
        <w:ind w:left="0" w:right="0" w:firstLine="0"/>
        <w:jc w:val="left"/>
      </w:pPr>
      <w:r>
        <w:rPr>
          <w:rFonts w:ascii="Arial" w:hAnsi="Arial" w:eastAsia="Arial" w:cs="Arial"/>
          <w:color w:val="616161"/>
          <w:sz w:val="17"/>
          <w:szCs w:val="17"/>
        </w:rPr>
        <w:t xml:space="preserve">Current health expenditure; nominal US dollars, not inflation-adjusted or PPP-adjusted. Sources: </w:t>
      </w:r>
      <w:hyperlink r:id="rId20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26</w:t>
        </w:r>
      </w:hyperlink>
    </w:p>
    <w:p>
      <w:pPr>
        <w:keepNext/>
        <w:widowControl/>
        <w:spacing w:before="120" w:after="80" w:line="260" w:lineRule="exact"/>
        <w:ind w:left="0" w:firstLine="0" w:right="0"/>
        <w:jc w:val="left"/>
      </w:pPr>
      <w:r>
        <w:rPr>
          <w:rFonts w:ascii="Arial" w:hAnsi="Arial" w:eastAsia="Arial" w:cs="Arial"/>
          <w:color w:val="242424"/>
          <w:sz w:val="21"/>
          <w:szCs w:val="21"/>
          <w:b w:val="1"/>
        </w:rPr>
        <w:t>Health workforce density, 2015 to 2024</w:t>
      </w:r>
    </w:p>
    <w:p>
      <w:pPr>
        <w:keepNext/>
        <w:spacing w:after="120" w:before="60" w:line="240" w:lineRule="auto"/>
        <w:ind w:left="0" w:firstLine="0" w:right="0"/>
      </w:pPr>
      <w:r>
        <w:drawing>
          <wp:inline xmlns:a="http://schemas.openxmlformats.org/drawingml/2006/main" xmlns:pic="http://schemas.openxmlformats.org/drawingml/2006/picture" distL="0" distR="0" distT="0" distB="0">
            <wp:extent cx="6400800" cy="2423160"/>
            <wp:effectExtent l="0" t="0" r="0" b="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orc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0" w:after="100" w:line="210" w:lineRule="exact"/>
        <w:ind w:left="0" w:right="0" w:firstLine="0"/>
        <w:jc w:val="left"/>
      </w:pPr>
      <w:r>
        <w:rPr>
          <w:rFonts w:ascii="Arial" w:hAnsi="Arial" w:eastAsia="Arial" w:cs="Arial"/>
          <w:color w:val="616161"/>
          <w:sz w:val="17"/>
          <w:szCs w:val="17"/>
        </w:rPr>
        <w:t xml:space="preserve">MOH/SingStat registration-based series; nurses include registered and enrolled nurses and midwives. Published per-10,000 rates divided by 10. Sources: </w:t>
      </w:r>
      <w:hyperlink r:id="rId41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74</w:t>
        </w:r>
      </w:hyperlink>
    </w:p>
    <w:p>
      <w:pPr>
        <w:spacing w:before="0" w:after="0" w:line="20" w:lineRule="exact"/>
      </w:pPr>
      <w:r>
        <w:rPr>
          <w:rFonts w:ascii="Arial" w:hAnsi="Arial" w:eastAsia="Arial" w:cs="Arial"/>
          <w:color w:val="242424"/>
          <w:sz w:val="2"/>
          <w:szCs w:val="2"/>
        </w:rPr>
        <w:br w:type="page"/>
      </w:r>
    </w:p>
    <w:p>
      <w:pPr>
        <w:pStyle w:val="Heading1"/>
        <w:keepNext/>
        <w:keepLines/>
        <w:widowControl/>
        <w:spacing w:before="0" w:after="260" w:line="500" w:lineRule="exact"/>
        <w:ind w:left="0" w:firstLine="0" w:right="0"/>
        <w:jc w:val="left"/>
      </w:pPr>
      <w:bookmarkStart w:id="744" w:name="market"/>
      <w:r>
        <w:rPr>
          <w:rFonts w:ascii="Arial" w:hAnsi="Arial" w:eastAsia="Arial" w:cs="Arial"/>
          <w:color w:val="DC1E34"/>
          <w:sz w:val="42"/>
          <w:szCs w:val="42"/>
          <w:b w:val="1"/>
        </w:rPr>
        <w:t>Market and competition</w:t>
      </w:r>
      <w:bookmarkEnd w:id="744"/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•</w:t>
        <w:tab/>
      </w:r>
      <w:r>
        <w:rPr>
          <w:rFonts w:ascii="Arial" w:hAnsi="Arial" w:eastAsia="Arial" w:cs="Arial"/>
          <w:color w:val="242424"/>
          <w:sz w:val="22"/>
          <w:szCs w:val="22"/>
        </w:rPr>
        <w:t>Eight private acute hospitals provided 1,649 beds in 2025.</w:t>
      </w:r>
      <w:hyperlink r:id="rId42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18,</w:t>
        </w:r>
      </w:hyperlink>
      <w:hyperlink r:id="rId22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19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•</w:t>
        <w:tab/>
      </w:r>
      <w:r>
        <w:rPr>
          <w:rFonts w:ascii="Arial" w:hAnsi="Arial" w:eastAsia="Arial" w:cs="Arial"/>
          <w:color w:val="242424"/>
          <w:sz w:val="22"/>
          <w:szCs w:val="22"/>
        </w:rPr>
        <w:t>Private primary care included 2,777 general-practitioner clinics in 2025.</w:t>
      </w:r>
      <w:hyperlink r:id="rId42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18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•</w:t>
        <w:tab/>
      </w:r>
      <w:r>
        <w:rPr>
          <w:rFonts w:ascii="Arial" w:hAnsi="Arial" w:eastAsia="Arial" w:cs="Arial"/>
          <w:color w:val="242424"/>
          <w:sz w:val="22"/>
          <w:szCs w:val="22"/>
        </w:rPr>
        <w:t>Raffles Hospital supports international patients through clinical appointments and non-medical assistance.</w:t>
      </w:r>
      <w:hyperlink r:id="rId43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24</w:t>
        </w:r>
      </w:hyperlink>
    </w:p>
    <w:p>
      <w:pPr>
        <w:keepNext/>
        <w:widowControl/>
        <w:spacing w:before="120" w:after="80" w:line="260" w:lineRule="exact"/>
        <w:ind w:left="0" w:firstLine="0" w:right="0"/>
        <w:jc w:val="left"/>
      </w:pPr>
      <w:r>
        <w:rPr>
          <w:rFonts w:ascii="Arial" w:hAnsi="Arial" w:eastAsia="Arial" w:cs="Arial"/>
          <w:color w:val="242424"/>
          <w:sz w:val="21"/>
          <w:szCs w:val="21"/>
          <w:b w:val="1"/>
        </w:rPr>
        <w:t>Hospital bed capacity by ownership and care setting, 2025</w:t>
      </w:r>
    </w:p>
    <w:p>
      <w:pPr>
        <w:keepNext/>
        <w:spacing w:after="120" w:before="60" w:line="240" w:lineRule="auto"/>
        <w:ind w:left="0" w:firstLine="0" w:right="0"/>
      </w:pPr>
      <w:r>
        <w:drawing>
          <wp:inline xmlns:a="http://schemas.openxmlformats.org/drawingml/2006/main" xmlns:pic="http://schemas.openxmlformats.org/drawingml/2006/picture" distL="0" distR="0" distT="0" distB="0">
            <wp:extent cx="6400800" cy="2194560"/>
            <wp:effectExtent l="0" t="0" r="0" b="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0" w:after="100" w:line="210" w:lineRule="exact"/>
        <w:ind w:left="0" w:right="0" w:firstLine="0"/>
        <w:jc w:val="left"/>
      </w:pPr>
      <w:r>
        <w:rPr>
          <w:rFonts w:ascii="Arial" w:hAnsi="Arial" w:eastAsia="Arial" w:cs="Arial"/>
          <w:color w:val="616161"/>
          <w:sz w:val="17"/>
          <w:szCs w:val="17"/>
        </w:rPr>
        <w:t xml:space="preserve">Mutually exclusive hospital-bed categories; nursing-home beds are excluded. Sources: </w:t>
      </w:r>
      <w:hyperlink r:id="rId22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19</w:t>
        </w:r>
      </w:hyperlink>
    </w:p>
    <w:p>
      <w:pPr>
        <w:pStyle w:val="Heading2"/>
        <w:keepNext/>
        <w:keepLines/>
        <w:widowControl/>
        <w:spacing w:before="200" w:after="140" w:line="3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5"/>
          <w:szCs w:val="25"/>
          <w:b w:val="1"/>
        </w:rPr>
        <w:t>International institutional collaboration</w:t>
      </w:r>
    </w:p>
    <w:p>
      <w:pPr>
        <w:keepNext/>
        <w:spacing w:after="120" w:before="60" w:line="240" w:lineRule="auto"/>
        <w:ind w:left="0" w:firstLine="0" w:right="0"/>
      </w:pPr>
      <w:r>
        <w:drawing>
          <wp:inline xmlns:a="http://schemas.openxmlformats.org/drawingml/2006/main" xmlns:pic="http://schemas.openxmlformats.org/drawingml/2006/picture" distL="0" distR="0" distT="0" distB="0">
            <wp:extent cx="6400800" cy="2788920"/>
            <wp:effectExtent l="0" t="0" r="0" b="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ngapore_partnerships_map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8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0" w:after="160" w:line="228" w:lineRule="exact"/>
        <w:ind w:left="0" w:firstLine="0" w:right="0"/>
        <w:jc w:val="left"/>
      </w:pPr>
      <w:r>
        <w:rPr>
          <w:rFonts w:ascii="Arial" w:hAnsi="Arial" w:eastAsia="Arial" w:cs="Arial"/>
          <w:color w:val="616161"/>
          <w:sz w:val="18"/>
          <w:szCs w:val="18"/>
        </w:rPr>
        <w:t>Active external institutional collaborations, reviewed 7 October 2026. Directory totals exclude Cedars-Sinai. Map: Natural Earth, public domain. Counts describe relationships in the country, not hospital ownership or facility locations.</w:t>
      </w:r>
    </w:p>
    <w:p>
      <w:pPr>
        <w:spacing w:before="0" w:after="0" w:line="20" w:lineRule="exact"/>
      </w:pPr>
      <w:r>
        <w:rPr>
          <w:rFonts w:ascii="Arial" w:hAnsi="Arial" w:eastAsia="Arial" w:cs="Arial"/>
          <w:color w:val="242424"/>
          <w:sz w:val="2"/>
          <w:szCs w:val="2"/>
        </w:rPr>
        <w:br w:type="page"/>
      </w:r>
    </w:p>
    <w:p>
      <w:pPr>
        <w:pStyle w:val="Heading1"/>
        <w:keepNext/>
        <w:keepLines/>
        <w:widowControl/>
        <w:spacing w:before="0" w:after="260" w:line="500" w:lineRule="exact"/>
        <w:ind w:left="0" w:firstLine="0" w:right="0"/>
        <w:jc w:val="left"/>
      </w:pPr>
      <w:bookmarkStart w:id="1441" w:name="institutions"/>
      <w:r>
        <w:rPr>
          <w:rFonts w:ascii="Arial" w:hAnsi="Arial" w:eastAsia="Arial" w:cs="Arial"/>
          <w:color w:val="DC1E34"/>
          <w:sz w:val="42"/>
          <w:szCs w:val="42"/>
          <w:b w:val="1"/>
        </w:rPr>
        <w:t>Institution directory</w:t>
      </w:r>
      <w:bookmarkEnd w:id="1441"/>
    </w:p>
    <w:p>
      <w:pPr>
        <w:keepLines/>
        <w:widowControl/>
        <w:spacing w:before="0" w:after="160" w:line="228" w:lineRule="exact"/>
        <w:ind w:left="0" w:firstLine="0" w:right="0"/>
        <w:jc w:val="left"/>
      </w:pPr>
      <w:r>
        <w:rPr>
          <w:rFonts w:ascii="Arial" w:hAnsi="Arial" w:eastAsia="Arial" w:cs="Arial"/>
          <w:color w:val="616161"/>
          <w:sz w:val="18"/>
          <w:szCs w:val="18"/>
        </w:rPr>
        <w:t>21 foreign institutions with dated evidence of active collaboration. Entries 1 to 21. Detailed evidence appears in the profile and tracker.</w:t>
      </w:r>
    </w:p>
    <w:tbl>
      <w:tblPr>
        <w:tblW w:type="dxa" w:w="10080"/>
        <w:jc w:val="lef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firstColumn="1" w:firstRow="1" w:lastColumn="0" w:lastRow="0" w:noHBand="0" w:noVBand="1" w:val="04A0"/>
      </w:tblPr>
      <w:tblGrid>
        <w:gridCol w:w="6192"/>
        <w:gridCol w:w="3888"/>
      </w:tblGrid>
      <w:tr>
        <w:trPr>
          <w:tblHeader/>
          <w:cantSplit/>
        </w:trPr>
        <w:tc>
          <w:tcPr>
            <w:tcW w:type="dxa" w:w="6192"/>
            <w:shd w:val="clear" w:color="auto" w:fill="DC1E34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Next/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FFFFFF"/>
                <w:sz w:val="21"/>
                <w:szCs w:val="21"/>
                <w:b w:val="1"/>
              </w:rPr>
              <w:t>Institution</w:t>
            </w:r>
          </w:p>
        </w:tc>
        <w:tc>
          <w:tcPr>
            <w:tcW w:type="dxa" w:w="3888"/>
            <w:shd w:val="clear" w:color="auto" w:fill="DC1E34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Next/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FFFFFF"/>
                <w:sz w:val="21"/>
                <w:szCs w:val="21"/>
                <w:b w:val="1"/>
              </w:rPr>
              <w:t>Nature of collaboration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Duke University School of Medicine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Research collaboration, 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Harvard University (Harvard T.H. Chan School of Public Health)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Research collaboration, 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Johns Hopkins Health System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Mayo Clinic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Methodist Le Bonheur Healthcare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Michigan Medicine (University of Michigan)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Research collaboration, 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Mount Sinai Health System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NYC Health + Hospitals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Northwell Health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Stanford Health Care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Stanford Medicine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Research collaboration, 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Beijing Tsinghua Changgung Hospital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CUHK Medical Centre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Imperial College London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Karolinska University Hospital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National Cancer Center Japan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Ruijin Hospital (Shanghai Jiao Tong University School of Medicine)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Shanghai Jiao Tong University School of Medicine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University Health Network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University of Cambridge School of Clinical Medicine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Research exchange through joint symposia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b/>
                <w:color w:val="242424"/>
                <w:sz w:val="21"/>
                <w:szCs w:val="21"/>
              </w:rPr>
              <w:t>University of Oxford (Oxford University Clinical Research Unit)</w:t>
            </w:r>
          </w:p>
        </w:tc>
        <w:tc>
          <w:tcPr>
            <w:tcW w:type="dxa" w:w="3888"/>
            <w:vAlign w:val="center"/>
            <w:tcMar>
              <w:top w:type="dxa" w:w="50"/>
              <w:bottom w:type="dxa" w:w="50"/>
              <w:left w:type="dxa" w:w="110"/>
              <w:right w:type="dxa" w:w="110"/>
            </w:tcMar>
            <w:shd w:val="clear" w:color="auto" w:fill="F6F6F6"/>
          </w:tcPr>
          <w:p>
            <w:pPr>
              <w:keepLines/>
              <w:widowControl/>
              <w:spacing w:before="0" w:after="0" w:line="252" w:lineRule="exact"/>
              <w:ind w:left="0" w:firstLine="0" w:right="0"/>
              <w:jc w:val="left"/>
            </w:pPr>
            <w:r>
              <w:rPr>
                <w:rFonts w:ascii="Arial" w:hAnsi="Arial" w:eastAsia="Arial" w:cs="Arial"/>
                <w:color w:val="242424"/>
                <w:sz w:val="21"/>
                <w:szCs w:val="21"/>
              </w:rPr>
              <w:t>Clinical-trial capacity development and training</w:t>
            </w:r>
          </w:p>
        </w:tc>
      </w:tr>
    </w:tbl>
    <w:p>
      <w:pPr>
        <w:widowControl/>
        <w:spacing w:before="0" w:after="60" w:line="40" w:lineRule="exact"/>
        <w:ind w:left="0" w:firstLine="0" w:right="0"/>
        <w:jc w:val="left"/>
      </w:pPr>
    </w:p>
    <w:p>
      <w:pPr>
        <w:spacing w:before="0" w:after="0" w:line="20" w:lineRule="exact"/>
      </w:pPr>
      <w:r>
        <w:rPr>
          <w:rFonts w:ascii="Arial" w:hAnsi="Arial" w:eastAsia="Arial" w:cs="Arial"/>
          <w:color w:val="242424"/>
          <w:sz w:val="2"/>
          <w:szCs w:val="2"/>
        </w:rPr>
        <w:br w:type="page"/>
      </w:r>
    </w:p>
    <w:p>
      <w:pPr>
        <w:pStyle w:val="Heading1"/>
        <w:keepNext/>
        <w:keepLines/>
        <w:widowControl/>
        <w:spacing w:before="0" w:after="260" w:line="500" w:lineRule="exact"/>
        <w:ind w:left="0" w:firstLine="0" w:right="0"/>
        <w:jc w:val="left"/>
      </w:pPr>
      <w:bookmarkStart w:id="985" w:name="position"/>
      <w:r>
        <w:rPr>
          <w:rFonts w:ascii="Arial" w:hAnsi="Arial" w:eastAsia="Arial" w:cs="Arial"/>
          <w:color w:val="DC1E34"/>
          <w:sz w:val="42"/>
          <w:szCs w:val="42"/>
          <w:b w:val="1"/>
        </w:rPr>
        <w:t>CSI position and risks</w:t>
      </w:r>
      <w:bookmarkEnd w:id="985"/>
    </w:p>
    <w:p>
      <w:pPr>
        <w:pStyle w:val="Heading2"/>
        <w:keepNext/>
        <w:keepLines/>
        <w:widowControl/>
        <w:spacing w:before="200" w:after="140" w:line="3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5"/>
          <w:szCs w:val="25"/>
          <w:b w:val="1"/>
        </w:rPr>
        <w:t>CSI partnerships in Singapore</w:t>
      </w:r>
    </w:p>
    <w:p>
      <w:pPr>
        <w:widowControl/>
        <w:spacing w:before="0" w:after="100" w:line="288" w:lineRule="exact"/>
        <w:ind w:left="0" w:firstLine="0" w:right="0"/>
        <w:jc w:val="left"/>
      </w:pPr>
      <w:r>
        <w:rPr>
          <w:rFonts w:ascii="Arial" w:hAnsi="Arial" w:eastAsia="Arial" w:cs="Arial"/>
          <w:color w:val="616161"/>
          <w:sz w:val="20"/>
          <w:szCs w:val="20"/>
        </w:rPr>
        <w:t>[MANUAL INPUT REQUIRED]</w:t>
      </w:r>
    </w:p>
    <w:p>
      <w:pPr>
        <w:keepLines/>
        <w:widowControl/>
        <w:spacing w:before="0" w:after="160" w:line="228" w:lineRule="exact"/>
        <w:ind w:left="0" w:firstLine="0" w:right="0"/>
        <w:jc w:val="left"/>
      </w:pPr>
      <w:r>
        <w:rPr>
          <w:rFonts w:ascii="Arial" w:hAnsi="Arial" w:eastAsia="Arial" w:cs="Arial"/>
          <w:color w:val="616161"/>
          <w:sz w:val="18"/>
          <w:szCs w:val="18"/>
        </w:rPr>
        <w:t>To be completed by CSI from internal data and relationship assessment.</w:t>
      </w:r>
    </w:p>
    <w:p>
      <w:pPr>
        <w:pStyle w:val="Heading2"/>
        <w:keepNext/>
        <w:keepLines/>
        <w:widowControl/>
        <w:spacing w:before="200" w:after="140" w:line="3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5"/>
          <w:szCs w:val="25"/>
          <w:b w:val="1"/>
        </w:rPr>
        <w:t>Opportunities for CSI</w:t>
      </w:r>
    </w:p>
    <w:p>
      <w:pPr>
        <w:widowControl/>
        <w:spacing w:before="0" w:after="100" w:line="288" w:lineRule="exact"/>
        <w:ind w:left="0" w:firstLine="0" w:right="0"/>
        <w:jc w:val="left"/>
      </w:pPr>
      <w:r>
        <w:rPr>
          <w:rFonts w:ascii="Arial" w:hAnsi="Arial" w:eastAsia="Arial" w:cs="Arial"/>
          <w:color w:val="616161"/>
          <w:sz w:val="20"/>
          <w:szCs w:val="20"/>
        </w:rPr>
        <w:t>[MANUAL INPUT REQUIRED]</w:t>
      </w:r>
    </w:p>
    <w:p>
      <w:pPr>
        <w:keepLines/>
        <w:widowControl/>
        <w:spacing w:before="0" w:after="160" w:line="228" w:lineRule="exact"/>
        <w:ind w:left="0" w:firstLine="0" w:right="0"/>
        <w:jc w:val="left"/>
      </w:pPr>
      <w:r>
        <w:rPr>
          <w:rFonts w:ascii="Arial" w:hAnsi="Arial" w:eastAsia="Arial" w:cs="Arial"/>
          <w:color w:val="616161"/>
          <w:sz w:val="18"/>
          <w:szCs w:val="18"/>
        </w:rPr>
        <w:t>To be completed by CSI from internal data and relationship assessment.</w:t>
      </w:r>
    </w:p>
    <w:p>
      <w:pPr>
        <w:pStyle w:val="Heading2"/>
        <w:keepNext/>
        <w:keepLines/>
        <w:widowControl/>
        <w:spacing w:before="200" w:after="140" w:line="3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5"/>
          <w:szCs w:val="25"/>
          <w:b w:val="1"/>
        </w:rPr>
        <w:t>Risks and watch items</w:t>
      </w:r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•</w:t>
        <w:tab/>
      </w:r>
      <w:r>
        <w:rPr>
          <w:rFonts w:ascii="Arial" w:hAnsi="Arial" w:eastAsia="Arial" w:cs="Arial"/>
          <w:color w:val="242424"/>
          <w:sz w:val="22"/>
          <w:szCs w:val="22"/>
        </w:rPr>
        <w:t>More than half of hypertensive residents aged 18 to 74 examined in 2023 to 2024 were previously undiagnosed.</w:t>
      </w:r>
      <w:hyperlink r:id="rId46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16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•</w:t>
        <w:tab/>
      </w:r>
      <w:r>
        <w:rPr>
          <w:rFonts w:ascii="Arial" w:hAnsi="Arial" w:eastAsia="Arial" w:cs="Arial"/>
          <w:color w:val="242424"/>
          <w:sz w:val="22"/>
          <w:szCs w:val="22"/>
        </w:rPr>
        <w:t>The healthcare workforce is projected to rise from 129,000 in 2024 to approximately 156,000 by 2030.</w:t>
      </w:r>
      <w:hyperlink r:id="rId47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31</w:t>
        </w:r>
      </w:hyperlink>
    </w:p>
    <w:p>
      <w:pPr>
        <w:keepLines/>
        <w:widowControl/>
        <w:tabs>
          <w:tab w:pos="216" w:val="left"/>
        </w:tabs>
        <w:spacing w:before="0" w:after="120" w:line="288" w:lineRule="exact"/>
        <w:ind w:left="216" w:right="0" w:hanging="216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•</w:t>
        <w:tab/>
      </w:r>
      <w:r>
        <w:rPr>
          <w:rFonts w:ascii="Arial" w:hAnsi="Arial" w:eastAsia="Arial" w:cs="Arial"/>
          <w:color w:val="242424"/>
          <w:sz w:val="22"/>
          <w:szCs w:val="22"/>
        </w:rPr>
        <w:t>Health-information contribution requirements phase in from September 2027 and September 2028.</w:t>
      </w:r>
      <w:hyperlink r:id="rId48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37</w:t>
        </w:r>
      </w:hyperlink>
    </w:p>
    <w:p>
      <w:pPr>
        <w:pStyle w:val="Heading2"/>
        <w:keepNext/>
        <w:keepLines/>
        <w:widowControl/>
        <w:spacing w:before="200" w:after="140" w:line="32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5"/>
          <w:szCs w:val="25"/>
          <w:b w:val="1"/>
        </w:rPr>
        <w:t>Recent developments</w:t>
      </w:r>
    </w:p>
    <w:p>
      <w:pPr>
        <w:keepNext/>
        <w:widowControl/>
        <w:spacing w:before="100" w:after="80" w:line="26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0"/>
          <w:szCs w:val="20"/>
          <w:b w:val="1"/>
        </w:rPr>
        <w:t>2026-10-03</w:t>
      </w:r>
    </w:p>
    <w:p>
      <w:pPr>
        <w:keepLines/>
        <w:widowControl/>
        <w:spacing w:before="0" w:after="120" w:line="288" w:lineRule="exact"/>
        <w:ind w:left="0" w:firstLine="0" w:right="0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NPHS 2025 reported 87.3% of residents aged 18 to 74 met the sufficient-physical-activity definition.</w:t>
      </w:r>
      <w:hyperlink r:id="rId49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17</w:t>
        </w:r>
      </w:hyperlink>
    </w:p>
    <w:p>
      <w:pPr>
        <w:keepNext/>
        <w:widowControl/>
        <w:spacing w:before="100" w:after="80" w:line="26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0"/>
          <w:szCs w:val="20"/>
          <w:b w:val="1"/>
        </w:rPr>
        <w:t>2026-09-09</w:t>
      </w:r>
    </w:p>
    <w:p>
      <w:pPr>
        <w:keepLines/>
        <w:widowControl/>
        <w:spacing w:before="0" w:after="120" w:line="288" w:lineRule="exact"/>
        <w:ind w:left="0" w:firstLine="0" w:right="0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MOH announced regulatory consolidation under HSA, with transfers scheduled for November 2026 and by end-2027.</w:t>
      </w:r>
      <w:hyperlink r:id="rId50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72</w:t>
        </w:r>
      </w:hyperlink>
    </w:p>
    <w:p>
      <w:pPr>
        <w:keepNext/>
        <w:widowControl/>
        <w:spacing w:before="100" w:after="80" w:line="260" w:lineRule="exact"/>
        <w:ind w:left="0" w:firstLine="0" w:right="0"/>
        <w:jc w:val="left"/>
      </w:pPr>
      <w:r>
        <w:rPr>
          <w:rFonts w:ascii="Arial" w:hAnsi="Arial" w:eastAsia="Arial" w:cs="Arial"/>
          <w:color w:val="DC1E34"/>
          <w:sz w:val="20"/>
          <w:szCs w:val="20"/>
          <w:b w:val="1"/>
        </w:rPr>
        <w:t>2026-05-06</w:t>
      </w:r>
    </w:p>
    <w:p>
      <w:pPr>
        <w:keepLines/>
        <w:widowControl/>
        <w:spacing w:before="0" w:after="120" w:line="288" w:lineRule="exact"/>
        <w:ind w:left="0" w:firstLine="0" w:right="0"/>
        <w:jc w:val="left"/>
      </w:pPr>
      <w:r>
        <w:rPr>
          <w:rFonts w:ascii="Arial" w:hAnsi="Arial" w:eastAsia="Arial" w:cs="Arial"/>
          <w:color w:val="242424"/>
          <w:sz w:val="22"/>
          <w:szCs w:val="22"/>
        </w:rPr>
        <w:t>MOH outlined phased health-record contributions following February 2026 enactment of the Health Information Act.</w:t>
      </w:r>
      <w:hyperlink r:id="rId48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37,</w:t>
        </w:r>
      </w:hyperlink>
      <w:hyperlink r:id="rId51">
        <w:r>
          <w:rPr>
            <w:rFonts w:ascii="Arial" w:hAnsi="Arial" w:eastAsia="Arial" w:cs="Arial"/>
            <w:vertAlign w:val="superscript"/>
            <w:color w:val="DC1E34"/>
            <w:sz w:val="16"/>
            <w:szCs w:val="16"/>
          </w:rPr>
          <w:t xml:space="preserve">73</w:t>
        </w:r>
      </w:hyperlink>
    </w:p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2240" w:h="15840"/>
      <w:pgMar w:top="979" w:right="1080" w:bottom="979" w:left="1080" w:header="101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widowControl/>
      <w:tabs>
        <w:tab w:pos="10080" w:val="right"/>
      </w:tabs>
      <w:spacing w:before="0" w:after="0" w:line="200" w:lineRule="exact"/>
      <w:ind w:left="0" w:firstLine="0" w:right="0"/>
      <w:jc w:val="left"/>
    </w:pPr>
    <w:r>
      <w:rPr>
        <w:rFonts w:ascii="Arial" w:hAnsi="Arial" w:eastAsia="Arial" w:cs="Arial"/>
        <w:color w:val="76777A"/>
        <w:sz w:val="15"/>
        <w:szCs w:val="16"/>
      </w:rPr>
      <w:t>Executive summary  |  Analyst review draft  |  7 October 2026</w:t>
      <w:tab/>
    </w:r>
    <w:r>
      <w:rPr>
        <w:rFonts w:ascii="Arial" w:hAnsi="Arial" w:eastAsia="Arial" w:cs="Arial"/>
        <w:color w:val="76777A"/>
        <w:sz w:val="15"/>
        <w:szCs w:val="16"/>
      </w:rPr>
      <w:fldChar w:fldCharType="begin"/>
    </w:r>
    <w:r>
      <w:rPr>
        <w:rFonts w:ascii="Arial" w:hAnsi="Arial" w:eastAsia="Arial" w:cs="Arial"/>
        <w:color w:val="76777A"/>
        <w:sz w:val="15"/>
        <w:szCs w:val="16"/>
      </w:rPr>
      <w:instrText xml:space="preserve"> PAGE </w:instrText>
    </w:r>
    <w:r>
      <w:rPr>
        <w:rFonts w:ascii="Arial" w:hAnsi="Arial" w:eastAsia="Arial" w:cs="Arial"/>
        <w:color w:val="76777A"/>
        <w:sz w:val="15"/>
        <w:szCs w:val="16"/>
      </w:rPr>
      <w:fldChar w:fldCharType="separate"/>
    </w:r>
    <w:r>
      <w:rPr>
        <w:rFonts w:ascii="Arial" w:hAnsi="Arial" w:eastAsia="Arial" w:cs="Arial"/>
        <w:color w:val="76777A"/>
        <w:sz w:val="15"/>
        <w:szCs w:val="16"/>
      </w:rPr>
      <w:t>1</w:t>
    </w:r>
    <w:r>
      <w:rPr>
        <w:rFonts w:ascii="Arial" w:hAnsi="Arial" w:eastAsia="Arial" w:cs="Arial"/>
        <w:color w:val="76777A"/>
        <w:sz w:val="15"/>
        <w:szCs w:val="16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rPr>
        <w:rFonts w:ascii="Arial" w:hAnsi="Arial"/>
        <w:color w:val="76777A"/>
        <w:sz w:val="15"/>
      </w:rPr>
      <w:t>Cedars-Sinai International | Singapore</w:t>
      <w:tab/>
    </w:r>
    <w:fldSimple w:instr="PAGE">
      <w:r>
        <w:t>1</w:t>
      </w:r>
    </w:fldSimple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rPr>
        <w:rFonts w:ascii="Arial" w:hAnsi="Arial"/>
        <w:color w:val="76777A"/>
        <w:sz w:val="15"/>
      </w:rPr>
      <w:t>Cedars-Sinai International | Singapore</w:t>
      <w:tab/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10080" w:val="right"/>
      </w:tabs>
      <w:spacing w:after="0" w:before="0"/>
    </w:pPr>
    <w:r>
      <w:drawing>
        <wp:inline xmlns:a="http://schemas.openxmlformats.org/drawingml/2006/main" xmlns:pic="http://schemas.openxmlformats.org/drawingml/2006/picture">
          <wp:extent cx="1645920" cy="493179"/>
          <wp:docPr id="1" name="Picture 1" descr="Cedars-Sinai International official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-internation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49317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color w:val="76777A"/>
        <w:sz w:val="14"/>
      </w:rPr>
      <w:tab/>
      <w:t>SINGAPORE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10080" w:val="right"/>
      </w:tabs>
      <w:spacing w:after="0" w:before="0"/>
    </w:pPr>
    <w:r>
      <w:drawing>
        <wp:inline xmlns:a="http://schemas.openxmlformats.org/drawingml/2006/main" xmlns:pic="http://schemas.openxmlformats.org/drawingml/2006/picture">
          <wp:extent cx="1645920" cy="493179"/>
          <wp:docPr id="1" name="Picture 1" descr="Cedars-Sinai International official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-internation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49317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color w:val="76777A"/>
        <w:sz w:val="14"/>
      </w:rPr>
      <w:tab/>
      <w:t>SINGAPORE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10080" w:val="right"/>
      </w:tabs>
      <w:spacing w:after="0" w:before="0"/>
    </w:pPr>
    <w:r>
      <w:drawing>
        <wp:inline xmlns:a="http://schemas.openxmlformats.org/drawingml/2006/main" xmlns:pic="http://schemas.openxmlformats.org/drawingml/2006/picture">
          <wp:extent cx="1645920" cy="493179"/>
          <wp:docPr id="1" name="Picture 1" descr="Cedars-Sinai International official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-internation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49317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color w:val="76777A"/>
        <w:sz w:val="14"/>
      </w:rPr>
      <w:tab/>
      <w:t>SINGAPORE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view w:val="print"/>
  <w:updateFields w:val="false"/>
  <w:autoHyphenation w:val="false"/>
  <w:doNotHyphenateCap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before="0" w:line="276" w:lineRule="auto"/>
      <w:ind w:left="0" w:right="0" w:firstLine="0"/>
    </w:pPr>
    <w:rPr>
      <w:rFonts w:ascii="Arial" w:hAnsi="Arial"/>
      <w:color w:val="2424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40" w:line="276" w:lineRule="auto"/>
      <w:ind w:left="0" w:right="0" w:firstLine="0"/>
      <w:outlineLvl w:val="0"/>
    </w:pPr>
    <w:rPr>
      <w:rFonts w:ascii="Arial" w:hAnsi="Arial" w:eastAsia="Arial" w:cs="Arial"/>
      <w:b/>
      <w:bCs/>
      <w:color w:val="DC1E34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40" w:line="276" w:lineRule="auto"/>
      <w:ind w:left="0" w:right="0" w:firstLine="0"/>
      <w:outlineLvl w:val="1"/>
    </w:pPr>
    <w:rPr>
      <w:rFonts w:ascii="Arial" w:hAnsi="Arial" w:eastAsia="Arial" w:cs="Arial"/>
      <w:b/>
      <w:bCs/>
      <w:color w:val="DC1E3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140" w:line="276" w:lineRule="auto"/>
      <w:ind w:left="0" w:right="0" w:firstLine="0"/>
      <w:outlineLvl w:val="2"/>
    </w:pPr>
    <w:rPr>
      <w:rFonts w:ascii="Arial" w:hAnsi="Arial" w:eastAsia="Arial" w:cs="Arial"/>
      <w:b/>
      <w:bCs/>
      <w:color w:val="DC1E3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eastAsia="Arial" w:cs="Arial"/>
      <w:b/>
      <w:bCs/>
      <w:i/>
      <w:iCs/>
      <w:color w:val="2424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eastAsia="Arial" w:cs="Arial"/>
      <w:color w:val="2424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eastAsia="Arial" w:cs="Arial"/>
      <w:i/>
      <w:iCs/>
      <w:color w:val="2424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eastAsia="Arial" w:cs="Arial"/>
      <w:i/>
      <w:iCs/>
      <w:color w:val="2424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eastAsia="Arial" w:cs="Arial"/>
      <w:color w:val="242424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eastAsia="Arial" w:cs="Arial"/>
      <w:i/>
      <w:iCs/>
      <w:color w:val="242424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/>
    </w:rPr>
  </w:style>
  <w:style w:type="table" w:default="1" w:styleId="TableNormal">
    <w:name w:val="Normal Table"/>
    <w:uiPriority w:val="99"/>
    <w:semiHidden/>
    <w:unhideWhenUsed/>
    <w:rPr>
      <w:rFonts w:ascii="Arial" w:hAnsi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Arial" w:cs="Arial"/>
      <w:b/>
      <w:bCs/>
      <w:color w:val="24242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Arial" w:cs="Arial"/>
      <w:b/>
      <w:bCs/>
      <w:color w:val="242424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Arial" w:cs="Arial"/>
      <w:b/>
      <w:bCs/>
      <w:color w:val="2424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76" w:lineRule="auto" w:before="0"/>
      <w:ind w:left="0" w:right="0" w:firstLine="0"/>
      <w:contextualSpacing/>
    </w:pPr>
    <w:rPr>
      <w:rFonts w:ascii="Arial" w:hAnsi="Arial" w:eastAsia="Arial" w:cs="Arial"/>
      <w:color w:val="DC1E34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eastAsia="Arial" w:cs="Arial"/>
      <w:color w:val="242424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before="0" w:line="276" w:lineRule="auto"/>
      <w:ind w:left="0" w:right="0" w:firstLine="0"/>
    </w:pPr>
    <w:rPr>
      <w:rFonts w:ascii="Arial" w:hAnsi="Arial" w:eastAsia="Arial" w:cs="Arial"/>
      <w:i/>
      <w:iCs/>
      <w:color w:val="61616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eastAsia="Arial" w:cs="Arial"/>
      <w:i/>
      <w:iCs/>
      <w:color w:val="24242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 w:cs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eastAsia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2424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2424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eastAsia="Arial" w:cs="Arial"/>
      <w:b/>
      <w:bCs/>
      <w:i/>
      <w:iCs/>
      <w:color w:val="2424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eastAsia="Arial" w:cs="Arial"/>
      <w:color w:val="2424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eastAsia="Arial" w:cs="Arial"/>
      <w:i/>
      <w:iCs/>
      <w:color w:val="2424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eastAsia="Arial" w:cs="Arial"/>
      <w:i/>
      <w:iCs/>
      <w:color w:val="2424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eastAsia="Arial" w:cs="Arial"/>
      <w:color w:val="242424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eastAsia="Arial" w:cs="Arial"/>
      <w:i/>
      <w:iCs/>
      <w:color w:val="242424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242424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/>
      <w:bCs/>
      <w:i/>
      <w:iCs/>
      <w:color w:val="2424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2424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2424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2424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242424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242424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eastAsia="Arial" w:cs="Arial"/>
        <w:b/>
        <w:bCs/>
      </w:rPr>
    </w:tblStylePr>
    <w:tblStylePr w:type="lastCol">
      <w:rPr>
        <w:rFonts w:ascii="Arial" w:hAnsi="Arial" w:eastAsia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eastAsia="Arial" w:cs="Arial"/>
        <w:b/>
        <w:bCs/>
      </w:rPr>
    </w:tblStylePr>
    <w:tblStylePr w:type="lastCol">
      <w:rPr>
        <w:rFonts w:ascii="Arial" w:hAnsi="Arial" w:eastAsia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eastAsia="Arial" w:cs="Arial"/>
        <w:b/>
        <w:bCs/>
      </w:rPr>
    </w:tblStylePr>
    <w:tblStylePr w:type="lastCol">
      <w:rPr>
        <w:rFonts w:ascii="Arial" w:hAnsi="Arial" w:eastAsia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eastAsia="Arial" w:cs="Arial"/>
        <w:b/>
        <w:bCs/>
      </w:rPr>
    </w:tblStylePr>
    <w:tblStylePr w:type="lastCol">
      <w:rPr>
        <w:rFonts w:ascii="Arial" w:hAnsi="Arial" w:eastAsia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eastAsia="Arial" w:cs="Arial"/>
        <w:b/>
        <w:bCs/>
      </w:rPr>
    </w:tblStylePr>
    <w:tblStylePr w:type="lastCol">
      <w:rPr>
        <w:rFonts w:ascii="Arial" w:hAnsi="Arial" w:eastAsia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eastAsia="Arial" w:cs="Arial"/>
        <w:b/>
        <w:bCs/>
      </w:rPr>
    </w:tblStylePr>
    <w:tblStylePr w:type="lastCol">
      <w:rPr>
        <w:rFonts w:ascii="Arial" w:hAnsi="Arial" w:eastAsia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eastAsia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eastAsia="Arial" w:cs="Arial"/>
        <w:b/>
        <w:bCs/>
      </w:rPr>
    </w:tblStylePr>
    <w:tblStylePr w:type="lastCol">
      <w:rPr>
        <w:rFonts w:ascii="Arial" w:hAnsi="Arial" w:eastAsia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2424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2424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2424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2424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2424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2424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2424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2424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2424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2424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2424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2424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2424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2424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2424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2424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2424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2424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2424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2424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2424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2424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eastAsia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42424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eastAsia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242424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eastAsia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242424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eastAsia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242424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eastAsia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242424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eastAsia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242424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eastAsia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242424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2424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2424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2424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2424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2424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2424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2424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2424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242424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2424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2424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242424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2424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2424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242424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2424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2424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242424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2424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2424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242424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2424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2424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242424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2424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2424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242424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2424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2424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2424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2424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2424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2424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2424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2424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2424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2424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2424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2424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2424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2424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2424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2424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2424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2424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2424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2424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2424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2424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2424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2424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2424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2424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2424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2424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2424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242424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242424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242424"/>
      </w:rPr>
    </w:tblStylePr>
    <w:tblStylePr w:type="nwCell">
      <w:rPr>
        <w:color w:val="242424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242424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242424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242424"/>
      </w:rPr>
    </w:tblStylePr>
    <w:tblStylePr w:type="nwCell">
      <w:rPr>
        <w:color w:val="242424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242424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242424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242424"/>
      </w:rPr>
    </w:tblStylePr>
    <w:tblStylePr w:type="nwCell">
      <w:rPr>
        <w:color w:val="242424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242424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242424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242424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242424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242424"/>
      </w:rPr>
    </w:tblStylePr>
    <w:tblStylePr w:type="nwCell">
      <w:rPr>
        <w:color w:val="242424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242424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242424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242424"/>
      </w:rPr>
    </w:tblStylePr>
    <w:tblStylePr w:type="nwCell">
      <w:rPr>
        <w:color w:val="242424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242424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242424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2424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242424"/>
      </w:rPr>
    </w:tblStylePr>
    <w:tblStylePr w:type="nwCell">
      <w:rPr>
        <w:color w:val="242424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242424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2424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242424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2424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242424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2424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242424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2424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242424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2424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242424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2424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242424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2424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242424"/>
      </w:rPr>
      <w:tblPr/>
      <w:tcPr>
        <w:shd w:val="clear" w:color="auto" w:fill="999999" w:themeFill="text1" w:themeFillTint="66"/>
      </w:tcPr>
    </w:tblStylePr>
    <w:tblStylePr w:type="firstCol">
      <w:rPr>
        <w:color w:val="242424"/>
      </w:rPr>
      <w:tblPr/>
      <w:tcPr>
        <w:shd w:val="clear" w:color="auto" w:fill="000000" w:themeFill="text1" w:themeFillShade="BF"/>
      </w:tcPr>
    </w:tblStylePr>
    <w:tblStylePr w:type="lastCol">
      <w:rPr>
        <w:color w:val="242424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242424"/>
      </w:rPr>
      <w:tblPr/>
      <w:tcPr>
        <w:shd w:val="clear" w:color="auto" w:fill="B8CCE4" w:themeFill="accent1" w:themeFillTint="66"/>
      </w:tcPr>
    </w:tblStylePr>
    <w:tblStylePr w:type="firstCol">
      <w:rPr>
        <w:color w:val="242424"/>
      </w:rPr>
      <w:tblPr/>
      <w:tcPr>
        <w:shd w:val="clear" w:color="auto" w:fill="365F91" w:themeFill="accent1" w:themeFillShade="BF"/>
      </w:tcPr>
    </w:tblStylePr>
    <w:tblStylePr w:type="lastCol">
      <w:rPr>
        <w:color w:val="242424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242424"/>
      </w:rPr>
      <w:tblPr/>
      <w:tcPr>
        <w:shd w:val="clear" w:color="auto" w:fill="E5B8B7" w:themeFill="accent2" w:themeFillTint="66"/>
      </w:tcPr>
    </w:tblStylePr>
    <w:tblStylePr w:type="firstCol">
      <w:rPr>
        <w:color w:val="242424"/>
      </w:rPr>
      <w:tblPr/>
      <w:tcPr>
        <w:shd w:val="clear" w:color="auto" w:fill="943634" w:themeFill="accent2" w:themeFillShade="BF"/>
      </w:tcPr>
    </w:tblStylePr>
    <w:tblStylePr w:type="lastCol">
      <w:rPr>
        <w:color w:val="242424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242424"/>
      </w:rPr>
      <w:tblPr/>
      <w:tcPr>
        <w:shd w:val="clear" w:color="auto" w:fill="D6E3BC" w:themeFill="accent3" w:themeFillTint="66"/>
      </w:tcPr>
    </w:tblStylePr>
    <w:tblStylePr w:type="firstCol">
      <w:rPr>
        <w:color w:val="242424"/>
      </w:rPr>
      <w:tblPr/>
      <w:tcPr>
        <w:shd w:val="clear" w:color="auto" w:fill="76923C" w:themeFill="accent3" w:themeFillShade="BF"/>
      </w:tcPr>
    </w:tblStylePr>
    <w:tblStylePr w:type="lastCol">
      <w:rPr>
        <w:color w:val="242424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242424"/>
      </w:rPr>
      <w:tblPr/>
      <w:tcPr>
        <w:shd w:val="clear" w:color="auto" w:fill="CCC0D9" w:themeFill="accent4" w:themeFillTint="66"/>
      </w:tcPr>
    </w:tblStylePr>
    <w:tblStylePr w:type="firstCol">
      <w:rPr>
        <w:color w:val="242424"/>
      </w:rPr>
      <w:tblPr/>
      <w:tcPr>
        <w:shd w:val="clear" w:color="auto" w:fill="5F497A" w:themeFill="accent4" w:themeFillShade="BF"/>
      </w:tcPr>
    </w:tblStylePr>
    <w:tblStylePr w:type="lastCol">
      <w:rPr>
        <w:color w:val="242424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242424"/>
      </w:rPr>
      <w:tblPr/>
      <w:tcPr>
        <w:shd w:val="clear" w:color="auto" w:fill="B6DDE8" w:themeFill="accent5" w:themeFillTint="66"/>
      </w:tcPr>
    </w:tblStylePr>
    <w:tblStylePr w:type="firstCol">
      <w:rPr>
        <w:color w:val="242424"/>
      </w:rPr>
      <w:tblPr/>
      <w:tcPr>
        <w:shd w:val="clear" w:color="auto" w:fill="31849B" w:themeFill="accent5" w:themeFillShade="BF"/>
      </w:tcPr>
    </w:tblStylePr>
    <w:tblStylePr w:type="lastCol">
      <w:rPr>
        <w:color w:val="242424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/>
      <w:color w:val="2424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242424"/>
      </w:rPr>
      <w:tblPr/>
      <w:tcPr>
        <w:shd w:val="clear" w:color="auto" w:fill="FBD4B4" w:themeFill="accent6" w:themeFillTint="66"/>
      </w:tcPr>
    </w:tblStylePr>
    <w:tblStylePr w:type="firstCol">
      <w:rPr>
        <w:color w:val="242424"/>
      </w:rPr>
      <w:tblPr/>
      <w:tcPr>
        <w:shd w:val="clear" w:color="auto" w:fill="E36C0A" w:themeFill="accent6" w:themeFillShade="BF"/>
      </w:tcPr>
    </w:tblStylePr>
    <w:tblStylePr w:type="lastCol">
      <w:rPr>
        <w:color w:val="242424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image" Target="media/image2.jpg"/><Relationship Id="rId16" Type="http://schemas.openxmlformats.org/officeDocument/2006/relationships/hyperlink" Target="https://www.singstat.gov.sg/find-data/explore-data-themes/population/population-and-population-structure/latest-news-data" TargetMode="External"/><Relationship Id="rId17" Type="http://schemas.openxmlformats.org/officeDocument/2006/relationships/hyperlink" Target="https://www.singstat.gov.sg/publication-resources/population-trends-2026" TargetMode="External"/><Relationship Id="rId18" Type="http://schemas.openxmlformats.org/officeDocument/2006/relationships/hyperlink" Target="https://databank.worldbank.org/reports.aspx?country=SGP&amp;series=NY.GDP.PCAP.PP.CD&amp;source=2" TargetMode="External"/><Relationship Id="rId19" Type="http://schemas.openxmlformats.org/officeDocument/2006/relationships/hyperlink" Target="https://www.singstat.gov.sg/find-data/explore-data-themes/economy-prices/national-accounts/latest-news-data" TargetMode="External"/><Relationship Id="rId20" Type="http://schemas.openxmlformats.org/officeDocument/2006/relationships/hyperlink" Target="https://databank.worldbank.org/reports.aspx?country=SGP&amp;series=SH.XPD.CHEX.PC.CD&amp;source=2" TargetMode="External"/><Relationship Id="rId21" Type="http://schemas.openxmlformats.org/officeDocument/2006/relationships/hyperlink" Target="https://www.moh.gov.sg/others/resources-and-statistics/health-manpower/" TargetMode="External"/><Relationship Id="rId22" Type="http://schemas.openxmlformats.org/officeDocument/2006/relationships/hyperlink" Target="https://www.moh.gov.sg/others/resources-and-statistics/beds-in-inpatient-facilities-and-places-in-non-residential-long-term-care-facilities/" TargetMode="External"/><Relationship Id="rId23" Type="http://schemas.openxmlformats.org/officeDocument/2006/relationships/hyperlink" Target="https://www.mfa.gov.sg/about-singapore/" TargetMode="External"/><Relationship Id="rId24" Type="http://schemas.openxmlformats.org/officeDocument/2006/relationships/hyperlink" Target="https://www.pmo.gov.sg/about-us/the-cabinet/mr-lawrence-wong/" TargetMode="External"/><Relationship Id="rId25" Type="http://schemas.openxmlformats.org/officeDocument/2006/relationships/hyperlink" Target="https://www.istana.gov.sg/the-president/president-tharman-shanmugaratnam/" TargetMode="External"/><Relationship Id="rId26" Type="http://schemas.openxmlformats.org/officeDocument/2006/relationships/hyperlink" Target="https://sso.agc.gov.sg/Act/CONS1963?ProvIds=pr153A-" TargetMode="External"/><Relationship Id="rId27" Type="http://schemas.openxmlformats.org/officeDocument/2006/relationships/hyperlink" Target="https://www.mti.gov.sg/newsroom/speech-by-minister-of-state-for-trade-and-industry-alvin-tan-at-ministry-of-trade-and-industry--mti--s-committee-of-supply-debate-2023/" TargetMode="External"/><Relationship Id="rId28" Type="http://schemas.openxmlformats.org/officeDocument/2006/relationships/hyperlink" Target="https://www.meti.gov.sg/newsroom/mti-upgrades-2026-gdp-growth-forecast-to--4-5-to-5-5-per-cent-/" TargetMode="External"/><Relationship Id="rId29" Type="http://schemas.openxmlformats.org/officeDocument/2006/relationships/hyperlink" Target="https://www.moh.gov.sg/others/resources-and-statistics/principal-causes-of-death/" TargetMode="External"/><Relationship Id="rId30" Type="http://schemas.openxmlformats.org/officeDocument/2006/relationships/hyperlink" Target="https://www.moh.gov.sg/staying-healthy/healthy-living/" TargetMode="External"/><Relationship Id="rId31" Type="http://schemas.openxmlformats.org/officeDocument/2006/relationships/hyperlink" Target="https://www.moh.gov.sg/ageing-well/ageing-in-the-community/" TargetMode="External"/><Relationship Id="rId32" Type="http://schemas.openxmlformats.org/officeDocument/2006/relationships/hyperlink" Target="https://www.moh.gov.sg/about-us/our-partners/" TargetMode="External"/><Relationship Id="rId33" Type="http://schemas.openxmlformats.org/officeDocument/2006/relationships/hyperlink" Target="https://www.moh.gov.sg/newsroom/enhancing-quality-and-coordination-of-care/" TargetMode="External"/><Relationship Id="rId34" Type="http://schemas.openxmlformats.org/officeDocument/2006/relationships/hyperlink" Target="https://medschool.duke.edu/education/international-experiences/office-duke-nus-affairs/about-partnership" TargetMode="External"/><Relationship Id="rId35" Type="http://schemas.openxmlformats.org/officeDocument/2006/relationships/hyperlink" Target="https://www.singhealth.com.sg/news/announcements/nhcs-and-mayo-clinic-to-advance-cardiovascular-care-and-research" TargetMode="External"/><Relationship Id="rId36" Type="http://schemas.openxmlformats.org/officeDocument/2006/relationships/hyperlink" Target="https://www.moh.gov.sg/managing-expenses/keeping-healthcare-affordable/managing-medical-bills/" TargetMode="External"/><Relationship Id="rId37" Type="http://schemas.openxmlformats.org/officeDocument/2006/relationships/hyperlink" Target="https://www.moh.gov.sg/managing-expenses/schemes-and-subsidies/medishield-life/medishield-life-scheme-act/" TargetMode="External"/><Relationship Id="rId38" Type="http://schemas.openxmlformats.org/officeDocument/2006/relationships/hyperlink" Target="https://www.oecd.org/en/publications/health-at-a-glance-2025_8f9e3f98-en/full-report/indicator-overview-country-dashboards-and-major-trends_368ac397.html" TargetMode="External"/><Relationship Id="rId39" Type="http://schemas.openxmlformats.org/officeDocument/2006/relationships/image" Target="media/image3.png"/><Relationship Id="rId40" Type="http://schemas.openxmlformats.org/officeDocument/2006/relationships/image" Target="media/image4.png"/><Relationship Id="rId41" Type="http://schemas.openxmlformats.org/officeDocument/2006/relationships/hyperlink" Target="https://data.gov.sg/datasets/d_5257cff1ee5e6a16db6a9606a983efa4/view" TargetMode="External"/><Relationship Id="rId42" Type="http://schemas.openxmlformats.org/officeDocument/2006/relationships/hyperlink" Target="https://www.moh.gov.sg/others/resources-and-statistics/health-facilities/" TargetMode="External"/><Relationship Id="rId43" Type="http://schemas.openxmlformats.org/officeDocument/2006/relationships/hyperlink" Target="https://www.rafflesmedicalgroup.com/services/hospital/international-patients/international-patient-services/" TargetMode="External"/><Relationship Id="rId44" Type="http://schemas.openxmlformats.org/officeDocument/2006/relationships/image" Target="media/image5.png"/><Relationship Id="rId45" Type="http://schemas.openxmlformats.org/officeDocument/2006/relationships/image" Target="media/image6.png"/><Relationship Id="rId46" Type="http://schemas.openxmlformats.org/officeDocument/2006/relationships/hyperlink" Target="https://isomer-user-content.by.gov.sg/3/4cad4e62-8093-48de-b0d1-af8e012d4d95/NPHS%202024%20Survey%20Report_Final.pdf" TargetMode="External"/><Relationship Id="rId47" Type="http://schemas.openxmlformats.org/officeDocument/2006/relationships/hyperlink" Target="https://www.moh.gov.sg/newsroom/current-healthcare-workforce-strength-compared-against-projected-service-demand/" TargetMode="External"/><Relationship Id="rId48" Type="http://schemas.openxmlformats.org/officeDocument/2006/relationships/hyperlink" Target="https://www.healthinfo.gov.sg/hia/" TargetMode="External"/><Relationship Id="rId49" Type="http://schemas.openxmlformats.org/officeDocument/2006/relationships/hyperlink" Target="https://isomer-user-content.by.gov.sg/3/6d240639-e156-403e-bb26-1bdddfe0af6f/NPHS%202025%20Survey%20Report_Final.pdf" TargetMode="External"/><Relationship Id="rId50" Type="http://schemas.openxmlformats.org/officeDocument/2006/relationships/hyperlink" Target="https://www.moh.gov.sg/newsroom/health-sciences-authority--amendment--and-other-matters-bill-to-consolidate-health-regulatory-functions/" TargetMode="External"/><Relationship Id="rId51" Type="http://schemas.openxmlformats.org/officeDocument/2006/relationships/hyperlink" Target="https://www.moh.gov.sg/newsroom/speech-by-mr-tan-kiat-how--senior-minister-of-state--ministry-of-digital-development-and-information---ministry-of-health--at-healthtechx-asia--6-may-2026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C1E3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DC1E34"/>
      </a:hlink>
      <a:folHlink>
        <a:srgbClr val="DC1E34"/>
      </a:folHlink>
    </a:clrScheme>
    <a:fontScheme name="Office">
      <a:majorFont>
        <a:latin typeface="Arial"/>
        <a:ea typeface="Arial"/>
        <a:cs typeface="Arial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Arial"/>
        <a:cs typeface="Arial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Singapore Executive summary</dc:title>
  <dc:subject/>
  <dc:creator>Cedars-Sinai International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