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DC1E34"/>
          <w:sz w:val="40"/>
        </w:rPr>
        <w:t xml:space="preserve">Country Profile: </w:t>
      </w:r>
      <w:r>
        <w:rPr>
          <w:b w:val="0"/>
          <w:color w:val="DC1E34"/>
          <w:sz w:val="40"/>
        </w:rPr>
        <w:t>China</w:t>
      </w:r>
    </w:p>
    <w:p>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China.jpg"/>
                    <pic:cNvPicPr/>
                  </pic:nvPicPr>
                  <pic:blipFill>
                    <a:blip r:embed="rId10"/>
                    <a:stretch>
                      <a:fillRect/>
                    </a:stretch>
                  </pic:blipFill>
                  <pic:spPr>
                    <a:xfrm>
                      <a:off x="0" y="0"/>
                      <a:ext cx="6188710" cy="3481149"/>
                    </a:xfrm>
                    <a:prstGeom prst="rect"/>
                  </pic:spPr>
                </pic:pic>
              </a:graphicData>
            </a:graphic>
          </wp:inline>
        </w:drawing>
      </w:r>
    </w:p>
    <w:p>
      <w:pPr>
        <w:spacing w:after="80"/>
        <w:jc w:val="right"/>
      </w:pPr>
      <w:r>
        <w:rPr>
          <w:color w:val="6E6E6E"/>
          <w:sz w:val="14"/>
        </w:rPr>
        <w:t>Photo: Velatrix (CC0), via Wikimedia Commons</w:t>
      </w:r>
    </w:p>
    <w:p>
      <w:pPr>
        <w:spacing w:before="240" w:after="280"/>
      </w:pPr>
      <w:r>
        <w:rPr>
          <w:color w:val="DC1E34"/>
          <w:sz w:val="32"/>
        </w:rPr>
        <w:t>Table of Contents</w:t>
      </w:r>
    </w:p>
    <w:p>
      <w:pPr>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2</w:t>
      </w:r>
      <w:r>
        <w:fldChar w:fldCharType="end"/>
      </w:r>
    </w:p>
    <w:p>
      <w:pPr>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2</w:t>
      </w:r>
      <w:r>
        <w:fldChar w:fldCharType="end"/>
      </w:r>
    </w:p>
    <w:p>
      <w:pPr>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2</w:t>
      </w:r>
      <w:r>
        <w:fldChar w:fldCharType="end"/>
      </w:r>
    </w:p>
    <w:p>
      <w:pPr>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3</w:t>
      </w:r>
      <w:r>
        <w:fldChar w:fldCharType="end"/>
      </w:r>
    </w:p>
    <w:p>
      <w:pPr>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3</w:t>
      </w:r>
      <w:r>
        <w:fldChar w:fldCharType="end"/>
      </w:r>
    </w:p>
    <w:p>
      <w:pPr>
        <w:tabs>
          <w:tab w:pos="9746" w:val="right" w:leader="dot"/>
        </w:tabs>
        <w:spacing w:after="120" w:before="160"/>
        <w:ind w:left="0"/>
      </w:pPr>
      <w:hyperlink w:anchor="_sec6">
        <w:r>
          <w:rPr>
            <w:b/>
          </w:rPr>
          <w:t xml:space="preserve">China Health System</w:t>
        </w:r>
      </w:hyperlink>
      <w:r>
        <w:tab/>
      </w:r>
      <w:r>
        <w:fldChar w:fldCharType="begin"/>
      </w:r>
      <w:r>
        <w:instrText xml:space="preserve"> PAGEREF _sec6 \h </w:instrText>
      </w:r>
      <w:r>
        <w:fldChar w:fldCharType="separate"/>
      </w:r>
      <w:r>
        <w:t>4</w:t>
      </w:r>
      <w:r>
        <w:fldChar w:fldCharType="end"/>
      </w:r>
    </w:p>
    <w:p>
      <w:pPr>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4</w:t>
      </w:r>
      <w:r>
        <w:fldChar w:fldCharType="end"/>
      </w:r>
    </w:p>
    <w:p>
      <w:pPr>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4</w:t>
      </w:r>
      <w:r>
        <w:fldChar w:fldCharType="end"/>
      </w:r>
    </w:p>
    <w:p>
      <w:pPr>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4</w:t>
      </w:r>
      <w:r>
        <w:fldChar w:fldCharType="end"/>
      </w:r>
    </w:p>
    <w:p>
      <w:pPr>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5</w:t>
      </w:r>
      <w:r>
        <w:fldChar w:fldCharType="end"/>
      </w:r>
    </w:p>
    <w:p>
      <w:pPr>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5</w:t>
      </w:r>
      <w:r>
        <w:fldChar w:fldCharType="end"/>
      </w:r>
    </w:p>
    <w:p>
      <w:pPr>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5</w:t>
      </w:r>
      <w:r>
        <w:fldChar w:fldCharType="end"/>
      </w:r>
    </w:p>
    <w:p>
      <w:pPr>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6</w:t>
      </w:r>
      <w:r>
        <w:fldChar w:fldCharType="end"/>
      </w:r>
    </w:p>
    <w:p>
      <w:pPr>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7</w:t>
      </w:r>
      <w:r>
        <w:fldChar w:fldCharType="end"/>
      </w:r>
    </w:p>
    <w:p>
      <w:pPr>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8</w:t>
      </w:r>
      <w:r>
        <w:fldChar w:fldCharType="end"/>
      </w:r>
    </w:p>
    <w:p>
      <w:pPr>
        <w:pStyle w:val="Heading1"/>
        <w:keepNext/>
        <w:pageBreakBefore/>
      </w:pPr>
      <w:bookmarkStart w:id="1" w:name="_sec1"/>
      <w:r>
        <w:rPr>
          <w:color w:val="DC1E34"/>
        </w:rPr>
        <w:t>Country Overview</w:t>
      </w:r>
      <w:bookmarkEnd w:id="1"/>
    </w:p>
    <w:p>
      <w:pPr>
        <w:spacing w:before="0" w:after="80"/>
        <w:keepNext/>
        <w:pBdr>
          <w:bottom w:val="single" w:sz="12" w:space="1" w:color="DC1E34"/>
        </w:pBdr>
      </w:pPr>
    </w:p>
    <w:p>
      <w:pPr>
        <w:pStyle w:val="Heading2"/>
        <w:keepNext/>
      </w:pPr>
      <w:bookmarkStart w:id="2" w:name="_sec2"/>
      <w:r>
        <w:rPr>
          <w:color w:val="DC1E34"/>
        </w:rP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DC1E34"/>
                <w:sz w:val="21"/>
              </w:rPr>
              <w:t>Capital</w:t>
            </w:r>
          </w:p>
        </w:tc>
        <w:tc>
          <w:tcPr>
            <w:tcW w:type="dxa" w:w="2436"/>
          </w:tcPr>
          <w:p>
            <w:pPr>
              <w:spacing w:after="60"/>
            </w:pPr>
            <w:r>
              <w:rPr>
                <w:sz w:val="21"/>
              </w:rPr>
              <w:t>Beijing</w:t>
            </w:r>
          </w:p>
        </w:tc>
        <w:tc>
          <w:tcPr>
            <w:tcW w:type="dxa" w:w="2436"/>
          </w:tcPr>
          <w:p>
            <w:pPr>
              <w:spacing w:after="60"/>
            </w:pPr>
            <w:r>
              <w:rPr>
                <w:b/>
                <w:color w:val="DC1E34"/>
                <w:sz w:val="21"/>
              </w:rPr>
              <w:t>Official Language</w:t>
            </w:r>
          </w:p>
        </w:tc>
        <w:tc>
          <w:tcPr>
            <w:tcW w:type="dxa" w:w="2436"/>
          </w:tcPr>
          <w:p>
            <w:pPr>
              <w:spacing w:after="60"/>
            </w:pPr>
            <w:r>
              <w:rPr>
                <w:sz w:val="21"/>
              </w:rPr>
              <w:t>Standard Chinese (Mandarin)</w:t>
            </w:r>
          </w:p>
        </w:tc>
      </w:tr>
      <w:tr>
        <w:tc>
          <w:tcPr>
            <w:tcW w:type="dxa" w:w="2436"/>
          </w:tcPr>
          <w:p>
            <w:pPr>
              <w:spacing w:after="60"/>
            </w:pPr>
            <w:r>
              <w:rPr>
                <w:b/>
                <w:color w:val="DC1E34"/>
                <w:sz w:val="21"/>
              </w:rPr>
              <w:t>Area</w:t>
            </w:r>
          </w:p>
        </w:tc>
        <w:tc>
          <w:tcPr>
            <w:tcW w:type="dxa" w:w="2436"/>
          </w:tcPr>
          <w:p>
            <w:pPr>
              <w:spacing w:after="60"/>
            </w:pPr>
            <w:r>
              <w:rPr>
                <w:sz w:val="21"/>
              </w:rPr>
              <w:t>9,596,961 sq km</w:t>
            </w:r>
          </w:p>
        </w:tc>
        <w:tc>
          <w:tcPr>
            <w:tcW w:type="dxa" w:w="2436"/>
          </w:tcPr>
          <w:p>
            <w:pPr>
              <w:spacing w:after="60"/>
            </w:pPr>
            <w:r>
              <w:rPr>
                <w:b/>
                <w:color w:val="DC1E34"/>
                <w:sz w:val="21"/>
              </w:rPr>
              <w:t>Currency</w:t>
            </w:r>
          </w:p>
        </w:tc>
        <w:tc>
          <w:tcPr>
            <w:tcW w:type="dxa" w:w="2436"/>
          </w:tcPr>
          <w:p>
            <w:pPr>
              <w:spacing w:after="60"/>
            </w:pPr>
            <w:r>
              <w:rPr>
                <w:sz w:val="21"/>
              </w:rPr>
              <w:t>Renminbi / Yuan (CNY)</w:t>
            </w:r>
          </w:p>
        </w:tc>
      </w:tr>
      <w:tr>
        <w:tc>
          <w:tcPr>
            <w:tcW w:type="dxa" w:w="2436"/>
          </w:tcPr>
          <w:p>
            <w:pPr>
              <w:spacing w:after="60"/>
            </w:pPr>
            <w:r>
              <w:rPr>
                <w:b/>
                <w:color w:val="DC1E34"/>
                <w:sz w:val="21"/>
              </w:rPr>
              <w:t>GDP (PPP) Total</w:t>
            </w:r>
          </w:p>
        </w:tc>
        <w:tc>
          <w:tcPr>
            <w:tcW w:type="dxa" w:w="2436"/>
          </w:tcPr>
          <w:p>
            <w:pPr>
              <w:spacing w:after="60"/>
            </w:pPr>
            <w:r>
              <w:rPr>
                <w:sz w:val="21"/>
              </w:rPr>
              <w:t>Roughly $37 to $38 trillion under current estimates, ranking first globally; 2026 projections approach $44 trillion</w:t>
            </w:r>
          </w:p>
        </w:tc>
        <w:tc>
          <w:tcPr>
            <w:tcW w:type="dxa" w:w="2436"/>
          </w:tcPr>
          <w:p>
            <w:pPr>
              <w:spacing w:after="60"/>
            </w:pPr>
            <w:r>
              <w:rPr>
                <w:b/>
                <w:color w:val="DC1E34"/>
                <w:sz w:val="21"/>
              </w:rPr>
              <w:t>GDP (PPP) Per Capita</w:t>
            </w:r>
          </w:p>
        </w:tc>
        <w:tc>
          <w:tcPr>
            <w:tcW w:type="dxa" w:w="2436"/>
          </w:tcPr>
          <w:p>
            <w:pPr>
              <w:spacing w:after="60"/>
            </w:pPr>
            <w:r>
              <w:rPr>
                <w:sz w:val="21"/>
              </w:rPr>
              <w:t>Roughly $27,000 to $31,600</w:t>
            </w:r>
          </w:p>
        </w:tc>
      </w:tr>
      <w:tr>
        <w:tc>
          <w:tcPr>
            <w:tcW w:type="dxa" w:w="2436"/>
          </w:tcPr>
          <w:p>
            <w:pPr>
              <w:spacing w:after="60"/>
            </w:pPr>
            <w:r>
              <w:rPr>
                <w:b/>
                <w:color w:val="DC1E34"/>
                <w:sz w:val="21"/>
              </w:rPr>
              <w:t>Government</w:t>
            </w:r>
          </w:p>
        </w:tc>
        <w:tc>
          <w:tcPr>
            <w:tcW w:type="dxa" w:w="2436"/>
          </w:tcPr>
          <w:p>
            <w:pPr>
              <w:spacing w:after="60"/>
            </w:pPr>
            <w:r>
              <w:rPr>
                <w:sz w:val="21"/>
              </w:rPr>
              <w:t>Communist party-led one-party state</w:t>
            </w:r>
          </w:p>
        </w:tc>
        <w:tc>
          <w:tcPr>
            <w:tcW w:type="dxa" w:w="2436"/>
          </w:tcPr>
          <w:p>
            <w:pPr>
              <w:spacing w:after="60"/>
            </w:pPr>
            <w:r>
              <w:rPr>
                <w:b/>
                <w:color w:val="DC1E34"/>
                <w:sz w:val="21"/>
              </w:rPr>
              <w:t>Head of State</w:t>
            </w:r>
          </w:p>
        </w:tc>
        <w:tc>
          <w:tcPr>
            <w:tcW w:type="dxa" w:w="2436"/>
          </w:tcPr>
          <w:p>
            <w:pPr>
              <w:spacing w:after="60"/>
            </w:pPr>
            <w:r>
              <w:rPr>
                <w:sz w:val="21"/>
              </w:rPr>
              <w:t>Xi Jinping, in office since March 2013; also CCP General Secretary and Chairman of the Central Military Commission</w:t>
            </w:r>
          </w:p>
        </w:tc>
      </w:tr>
      <w:tr>
        <w:tc>
          <w:tcPr>
            <w:tcW w:type="dxa" w:w="2436"/>
          </w:tcPr>
          <w:p>
            <w:pPr>
              <w:spacing w:after="60"/>
            </w:pPr>
            <w:r>
              <w:rPr>
                <w:b/>
                <w:color w:val="DC1E34"/>
                <w:sz w:val="21"/>
              </w:rPr>
              <w:t>Head of Government</w:t>
            </w:r>
          </w:p>
        </w:tc>
        <w:tc>
          <w:tcPr>
            <w:tcW w:type="dxa" w:w="2436"/>
          </w:tcPr>
          <w:p>
            <w:pPr>
              <w:spacing w:after="60"/>
            </w:pPr>
            <w:r>
              <w:rPr>
                <w:sz w:val="21"/>
              </w:rPr>
              <w:t>Premier Li Qiang, in office since March 2023</w:t>
            </w:r>
          </w:p>
        </w:tc>
        <w:tc>
          <w:tcPr>
            <w:tcW w:type="dxa" w:w="2436"/>
          </w:tcPr>
          <w:p/>
        </w:tc>
        <w:tc>
          <w:tcPr>
            <w:tcW w:type="dxa" w:w="2436"/>
          </w:tcPr>
          <w:p/>
        </w:tc>
      </w:tr>
    </w:tbl>
    <w:p>
      <w:pPr>
        <w:keepNext/>
        <w:spacing w:after="40"/>
      </w:pPr>
    </w:p>
    <w:p>
      <w:r>
        <w:t>China's population is approximately 1.405 billion as of 2025 and is now in decline, with a population growth rate of about negative 0.24 percent and a fertility rate of roughly 0.93 births per woman, well below replacement level. That demographic trajectory, an aging, shrinking population layered onto a still-developing per-capita income base, is a central driver of the healthcare reforms described later in this profile: it is a major reason the government is trying to shift the health system toward prevention, chronic disease management, and primary care rather than continuing to expand hospital-based acute treatment capacity.</w:t>
      </w:r>
      <w:r>
        <w:rPr>
          <w:color w:val="DC1E34"/>
          <w:vertAlign w:val="superscript"/>
        </w:rPr>
        <w:t>1,</w:t>
      </w:r>
      <w:r>
        <w:rPr>
          <w:color w:val="DC1E34"/>
          <w:vertAlign w:val="superscript"/>
        </w:rPr>
        <w:t>2,</w:t>
      </w:r>
      <w:r>
        <w:rPr>
          <w:color w:val="DC1E34"/>
          <w:vertAlign w:val="superscript"/>
        </w:rPr>
        <w:t>3</w:t>
      </w:r>
    </w:p>
    <w:p>
      <w:pPr>
        <w:pStyle w:val="Heading2"/>
        <w:keepNext/>
      </w:pPr>
      <w:bookmarkStart w:id="3" w:name="_sec3"/>
      <w:r>
        <w:rPr>
          <w:color w:val="DC1E34"/>
        </w:rPr>
        <w:t>Government</w:t>
      </w:r>
      <w:bookmarkEnd w:id="3"/>
    </w:p>
    <w:p>
      <w:r>
        <w:t>China is governed as a one-party state under the Chinese Communist Party, with power concentrated in the Politburo Standing Committee and General Secretary Xi Jinping, who also holds the state presidency and chairs the Central Military Commission. Formal state institutions, including the National People's Congress, the State Council led by Premier Li Qiang, and the judiciary, operate under Party direction rather than as independent branches of government. China is organized into provinces, autonomous regions, and municipalities directly under central control (Beijing, Shanghai, Tianjin, Chongqing), with substantial policy implementation delegated to provincial and local governments, which is a major reason health policy execution varies so much region to region. Xi Jinping has consolidated authority significantly since taking power in 2012, including through the 2018 removal of presidential term limits, which allows him to remain in office indefinitely and gives long-run initiatives like the current health reform plans unusual continuity.</w:t>
      </w:r>
      <w:r>
        <w:rPr>
          <w:color w:val="DC1E34"/>
          <w:vertAlign w:val="superscript"/>
        </w:rPr>
        <w:t>1,</w:t>
      </w:r>
      <w:r>
        <w:rPr>
          <w:color w:val="DC1E34"/>
          <w:vertAlign w:val="superscript"/>
        </w:rPr>
        <w:t>4</w:t>
      </w:r>
    </w:p>
    <w:p>
      <w:pPr>
        <w:pStyle w:val="Heading2"/>
        <w:keepNext/>
      </w:pPr>
      <w:bookmarkStart w:id="4" w:name="_sec4"/>
      <w:r>
        <w:rPr>
          <w:color w:val="DC1E34"/>
        </w:rPr>
        <w:t>Economy</w:t>
      </w:r>
      <w:bookmarkEnd w:id="4"/>
    </w:p>
    <w:p>
      <w:r>
        <w:t>China has the world's second-largest economy by nominal GDP and the largest by purchasing power parity, built over four decades of market reform from a largely agrarian, centrally planned system into a manufacturing and export powerhouse. Growth has slowed to roughly 4 to 5 percent annually in the mid-2020s amid a prolonged property-sector downturn, elevated local-government debt, weak domestic consumption, and demographic headwinds from a shrinking workforce. The 15th Five-Year Plan, covering 2026 to 2030, emphasizes technological self-sufficiency and an AI-driven industrial strategy that extends into healthcare, alongside efforts to rebalance the economy toward domestic consumption. A companion 15th Five-Year Plan for National Health sets a target of raising average life expectancy to 80 by 2030, seeks to curb further expansion of tertiary mega-hospitals, and calls for accelerated AI adoption across the health and pharmaceutical sectors. Healthy China 2030, launched in 2016, remains the umbrella strategy shifting the health system's orientation from treatment toward prevention and long-term health management.</w:t>
      </w:r>
      <w:r>
        <w:rPr>
          <w:color w:val="DC1E34"/>
          <w:vertAlign w:val="superscript"/>
        </w:rPr>
        <w:t>5,</w:t>
      </w:r>
      <w:r>
        <w:rPr>
          <w:color w:val="DC1E34"/>
          <w:vertAlign w:val="superscript"/>
        </w:rPr>
        <w:t>6,</w:t>
      </w:r>
      <w:r>
        <w:rPr>
          <w:color w:val="DC1E34"/>
          <w:vertAlign w:val="superscript"/>
        </w:rPr>
        <w:t>7</w:t>
      </w:r>
    </w:p>
    <w:p>
      <w:pPr>
        <w:pStyle w:val="Heading2"/>
        <w:keepNext/>
      </w:pPr>
      <w:bookmarkStart w:id="5" w:name="_sec5"/>
      <w:r>
        <w:rPr>
          <w:color w:val="DC1E34"/>
        </w:rP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DC1E34"/>
                <w:sz w:val="21"/>
              </w:rPr>
              <w:t>Leading cause of death and disease burden</w:t>
            </w:r>
          </w:p>
        </w:tc>
        <w:tc>
          <w:tcPr>
            <w:tcW w:type="dxa" w:w="2436"/>
          </w:tcPr>
          <w:p>
            <w:pPr>
              <w:spacing w:after="60"/>
            </w:pPr>
            <w:r>
              <w:rPr>
                <w:sz w:val="21"/>
              </w:rPr>
              <w:t>Cardiovascular disease: an estimated 11.1 million incident cases, 135.8 million prevalent cases, and 4.5 million deaths in 2023</w:t>
            </w:r>
          </w:p>
        </w:tc>
        <w:tc>
          <w:tcPr>
            <w:tcW w:type="dxa" w:w="2436"/>
          </w:tcPr>
          <w:p>
            <w:pPr>
              <w:spacing w:after="60"/>
            </w:pPr>
            <w:r>
              <w:rPr>
                <w:b/>
                <w:color w:val="DC1E34"/>
                <w:sz w:val="21"/>
              </w:rPr>
              <w:t>Top contributors to cardiovascular disease burden</w:t>
            </w:r>
          </w:p>
        </w:tc>
        <w:tc>
          <w:tcPr>
            <w:tcW w:type="dxa" w:w="2436"/>
          </w:tcPr>
          <w:p>
            <w:pPr>
              <w:spacing w:after="60"/>
            </w:pPr>
            <w:r>
              <w:rPr>
                <w:sz w:val="21"/>
              </w:rPr>
              <w:t>Ischemic heart disease, intracerebral hemorrhage, ischemic stroke, hypertensive heart disease, and subarachnoid hemorrhage</w:t>
            </w:r>
          </w:p>
        </w:tc>
      </w:tr>
      <w:tr>
        <w:tc>
          <w:tcPr>
            <w:tcW w:type="dxa" w:w="2436"/>
          </w:tcPr>
          <w:p>
            <w:pPr>
              <w:spacing w:after="60"/>
            </w:pPr>
            <w:r>
              <w:rPr>
                <w:b/>
                <w:color w:val="DC1E34"/>
                <w:sz w:val="21"/>
              </w:rPr>
              <w:t>Leading cardiovascular risk factors</w:t>
            </w:r>
          </w:p>
        </w:tc>
        <w:tc>
          <w:tcPr>
            <w:tcW w:type="dxa" w:w="2436"/>
          </w:tcPr>
          <w:p>
            <w:pPr>
              <w:spacing w:after="60"/>
            </w:pPr>
            <w:r>
              <w:rPr>
                <w:sz w:val="21"/>
              </w:rPr>
              <w:t>High systolic blood pressure, ambient particulate air pollution, high LDL cholesterol, smoking, and lead exposure</w:t>
            </w:r>
          </w:p>
        </w:tc>
        <w:tc>
          <w:tcPr>
            <w:tcW w:type="dxa" w:w="2436"/>
          </w:tcPr>
          <w:p>
            <w:pPr>
              <w:spacing w:after="60"/>
            </w:pPr>
            <w:r>
              <w:rPr>
                <w:b/>
                <w:color w:val="DC1E34"/>
                <w:sz w:val="21"/>
              </w:rPr>
              <w:t>Tobacco-attributable burden</w:t>
            </w:r>
          </w:p>
        </w:tc>
        <w:tc>
          <w:tcPr>
            <w:tcW w:type="dxa" w:w="2436"/>
          </w:tcPr>
          <w:p>
            <w:pPr>
              <w:spacing w:after="60"/>
            </w:pPr>
            <w:r>
              <w:rPr>
                <w:sz w:val="21"/>
              </w:rPr>
              <w:t>An estimated 2.38 million deaths and 57.27 million DALYs in 2023</w:t>
            </w:r>
          </w:p>
        </w:tc>
      </w:tr>
      <w:tr>
        <w:tc>
          <w:tcPr>
            <w:tcW w:type="dxa" w:w="2436"/>
          </w:tcPr>
          <w:p>
            <w:pPr>
              <w:spacing w:after="60"/>
            </w:pPr>
            <w:r>
              <w:rPr>
                <w:b/>
                <w:color w:val="DC1E34"/>
                <w:sz w:val="21"/>
              </w:rPr>
              <w:t>Long-term trend</w:t>
            </w:r>
          </w:p>
        </w:tc>
        <w:tc>
          <w:tcPr>
            <w:tcW w:type="dxa" w:w="2436"/>
          </w:tcPr>
          <w:p>
            <w:pPr>
              <w:spacing w:after="60"/>
            </w:pPr>
            <w:r>
              <w:rPr>
                <w:sz w:val="21"/>
              </w:rPr>
              <w:t>Age-standardized cardiovascular DALY rates fell 59.7% from 1990 to 2023, but the absolute burden continues to rise because of population aging and growth in the at-risk population</w:t>
            </w:r>
          </w:p>
        </w:tc>
        <w:tc>
          <w:tcPr>
            <w:tcW w:type="dxa" w:w="2436"/>
          </w:tcPr>
          <w:p/>
        </w:tc>
        <w:tc>
          <w:tcPr>
            <w:tcW w:type="dxa" w:w="2436"/>
          </w:tcPr>
          <w:p/>
        </w:tc>
      </w:tr>
    </w:tbl>
    <w:p>
      <w:pPr>
        <w:keepNext/>
        <w:spacing w:after="40"/>
      </w:pPr>
    </w:p>
    <w:p>
      <w:r>
        <w:rPr>
          <w:color w:val="DC1E34"/>
          <w:vertAlign w:val="superscript"/>
        </w:rPr>
        <w:t>8,</w:t>
      </w:r>
      <w:r>
        <w:rPr>
          <w:color w:val="DC1E34"/>
          <w:vertAlign w:val="superscript"/>
        </w:rPr>
        <w:t>9</w:t>
      </w:r>
    </w:p>
    <w:p>
      <w:pPr>
        <w:pStyle w:val="Heading1"/>
        <w:keepNext/>
      </w:pPr>
      <w:bookmarkStart w:id="6" w:name="_sec6"/>
      <w:r>
        <w:rPr>
          <w:color w:val="DC1E34"/>
        </w:rPr>
        <w:t>China Health System</w:t>
      </w:r>
      <w:bookmarkEnd w:id="6"/>
    </w:p>
    <w:p>
      <w:pPr>
        <w:spacing w:before="0" w:after="80"/>
        <w:keepNext/>
        <w:pBdr>
          <w:bottom w:val="single" w:sz="12" w:space="1" w:color="DC1E34"/>
        </w:pBdr>
      </w:pPr>
    </w:p>
    <w:p>
      <w:pPr>
        <w:pStyle w:val="Heading2"/>
        <w:keepNext/>
      </w:pPr>
      <w:bookmarkStart w:id="7" w:name="_sec7"/>
      <w:r>
        <w:rPr>
          <w:color w:val="DC1E34"/>
        </w:rPr>
        <w:t>Public Healthcare System</w:t>
      </w:r>
      <w:bookmarkEnd w:id="7"/>
    </w:p>
    <w:p>
      <w:r>
        <w:t>China's public health system is a tiered network of government-run facilities, from township and community health centers up through county and district hospitals to tertiary Grade A hospitals, overseen by the National Health Commission. Nominal universal coverage is provided through the Urban Employee Basic Medical Insurance and Urban-Rural Resident Basic Medical Insurance schemes, supplemented by medical assistance programs for low-income populations. Utilization is heavily skewed toward tertiary mega-hospitals, which draw patients away from lower-tier facilities even for routine care that a community clinic could handle. The new Five-Year Health Plan aims to correct this pattern and push more capacity toward primary care, in part through AI-enabled remote diagnostics that already handle tens of millions of imaging cases annually at the county level.</w:t>
      </w:r>
      <w:r>
        <w:rPr>
          <w:color w:val="DC1E34"/>
          <w:vertAlign w:val="superscript"/>
        </w:rPr>
        <w:t>6,</w:t>
      </w:r>
      <w:r>
        <w:rPr>
          <w:color w:val="DC1E34"/>
          <w:vertAlign w:val="superscript"/>
        </w:rPr>
        <w:t>10,</w:t>
      </w:r>
      <w:r>
        <w:rPr>
          <w:color w:val="DC1E34"/>
          <w:vertAlign w:val="superscript"/>
        </w:rPr>
        <w:t>11</w:t>
      </w:r>
    </w:p>
    <w:p>
      <w:pPr>
        <w:pStyle w:val="Heading2"/>
        <w:keepNext/>
      </w:pPr>
      <w:bookmarkStart w:id="8" w:name="_sec8"/>
      <w:r>
        <w:rPr>
          <w:color w:val="DC1E34"/>
        </w:rPr>
        <w:t>Private Healthcare System</w:t>
      </w:r>
      <w:bookmarkEnd w:id="8"/>
    </w:p>
    <w:p>
      <w:r>
        <w:t>China's private and foreign-invested health sector remains small relative to the public system but is expanding under real policy liberalization. Beijing began piloting wholly foreign-owned hospitals in Shanghai and other cities starting in 2025, opening a path for international operators that previously had to structure their entry as joint ventures with a Chinese partner. Established international players include IHH Healthcare's Parkway Shanghai operation, which marked its 20th year in the Chinese market in December 2024 and announced plans for a new ambulatory flagship care center in downtown Shanghai targeted for a 2025 opening, alongside a range of premium and expatriate-focused clinics and hospitals in major cities such as Shanghai, Beijing, and Shenzhen. US academic medical centers have pursued a mix of equity joint ventures, management contracts, consulting agreements, and branded partnerships in China with mixed and uneven results, ranging from UPMC's hospital-management joint venture with Wanda Group to smaller consulting relationships run by institutions such as Johns Hopkins Medicine International. Several ventures announced with fanfare in the late 2010s have since stalled, scaled back, or gone quiet in public reporting, which underscores the operational and regulatory difficulty of sustaining foreign-branded care delivery in China over the long run.</w:t>
      </w:r>
      <w:r>
        <w:rPr>
          <w:color w:val="DC1E34"/>
          <w:vertAlign w:val="superscript"/>
        </w:rPr>
        <w:t>12,</w:t>
      </w:r>
      <w:r>
        <w:rPr>
          <w:color w:val="DC1E34"/>
          <w:vertAlign w:val="superscript"/>
        </w:rPr>
        <w:t>13,</w:t>
      </w:r>
      <w:r>
        <w:rPr>
          <w:color w:val="DC1E34"/>
          <w:vertAlign w:val="superscript"/>
        </w:rPr>
        <w:t>14</w:t>
      </w:r>
    </w:p>
    <w:p>
      <w:pPr>
        <w:pStyle w:val="Heading2"/>
        <w:keepNext/>
      </w:pPr>
      <w:bookmarkStart w:id="9" w:name="_sec9"/>
      <w:r>
        <w:rPr>
          <w:color w:val="DC1E34"/>
        </w:rP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DC1E34"/>
                <w:sz w:val="21"/>
              </w:rPr>
              <w:t>Health expenditure, % of GDP</w:t>
            </w:r>
          </w:p>
        </w:tc>
        <w:tc>
          <w:tcPr>
            <w:tcW w:type="dxa" w:w="2436"/>
          </w:tcPr>
          <w:p>
            <w:pPr>
              <w:spacing w:after="60"/>
            </w:pPr>
            <w:r>
              <w:rPr>
                <w:sz w:val="21"/>
              </w:rPr>
              <w:t>Approximately 7.05% in 2022 (roughly 8,533 billion yuan, about $1,269 billion)</w:t>
            </w:r>
          </w:p>
        </w:tc>
        <w:tc>
          <w:tcPr>
            <w:tcW w:type="dxa" w:w="2436"/>
          </w:tcPr>
          <w:p>
            <w:pPr>
              <w:spacing w:after="60"/>
            </w:pPr>
            <w:r>
              <w:rPr>
                <w:b/>
                <w:color w:val="DC1E34"/>
                <w:sz w:val="21"/>
              </w:rPr>
              <w:t>Health expenditure per capita</w:t>
            </w:r>
          </w:p>
        </w:tc>
        <w:tc>
          <w:tcPr>
            <w:tcW w:type="dxa" w:w="2436"/>
          </w:tcPr>
          <w:p>
            <w:pPr>
              <w:spacing w:after="60"/>
            </w:pPr>
            <w:r>
              <w:rPr>
                <w:sz w:val="21"/>
              </w:rPr>
              <w:t>Approximately 6,044 yuan (about $899) in 2022, up from roughly $583 in 2020</w:t>
            </w:r>
          </w:p>
        </w:tc>
      </w:tr>
    </w:tbl>
    <w:p>
      <w:pPr>
        <w:keepNext/>
        <w:spacing w:after="40"/>
      </w:pPr>
    </w:p>
    <w:p>
      <w:r>
        <w:t>Coverage under the Urban Employee and Urban-Rural Resident Basic Medical Insurance schemes is nominally near-universal, but significant out-of-pocket costs and reimbursement gaps persist for tertiary and specialty care, which remains a central financing concern as the government pushes the system toward primary care and prevention.</w:t>
      </w:r>
      <w:r>
        <w:rPr>
          <w:color w:val="DC1E34"/>
          <w:vertAlign w:val="superscript"/>
        </w:rPr>
        <w:t>15,</w:t>
      </w:r>
      <w:r>
        <w:rPr>
          <w:color w:val="DC1E34"/>
          <w:vertAlign w:val="superscript"/>
        </w:rPr>
        <w:t>16</w:t>
      </w:r>
    </w:p>
    <w:p>
      <w:pPr>
        <w:pStyle w:val="Heading2"/>
        <w:keepNext/>
      </w:pPr>
      <w:bookmarkStart w:id="10" w:name="_sec10"/>
      <w:r>
        <w:rPr>
          <w:color w:val="DC1E34"/>
        </w:rP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DC1E34"/>
                <w:sz w:val="21"/>
              </w:rPr>
              <w:t>Physicians per 1,000 population (national)</w:t>
            </w:r>
          </w:p>
        </w:tc>
        <w:tc>
          <w:tcPr>
            <w:tcW w:type="dxa" w:w="2436"/>
          </w:tcPr>
          <w:p>
            <w:pPr>
              <w:spacing w:after="60"/>
            </w:pPr>
            <w:r>
              <w:rPr>
                <w:sz w:val="21"/>
              </w:rPr>
              <w:t>Roughly 3.15 to 3.4 per 1,000 in 2023 depending on source and definition, up substantially from about 1.9 per 1,000 in 2012</w:t>
            </w:r>
          </w:p>
        </w:tc>
        <w:tc>
          <w:tcPr>
            <w:tcW w:type="dxa" w:w="2436"/>
          </w:tcPr>
          <w:p>
            <w:pPr>
              <w:spacing w:after="60"/>
            </w:pPr>
            <w:r>
              <w:rPr>
                <w:b/>
                <w:color w:val="DC1E34"/>
                <w:sz w:val="21"/>
              </w:rPr>
              <w:t>Physicians per 1,000, urban areas</w:t>
            </w:r>
          </w:p>
        </w:tc>
        <w:tc>
          <w:tcPr>
            <w:tcW w:type="dxa" w:w="2436"/>
          </w:tcPr>
          <w:p>
            <w:pPr>
              <w:spacing w:after="60"/>
            </w:pPr>
            <w:r>
              <w:rPr>
                <w:sz w:val="21"/>
              </w:rPr>
              <w:t>Approximately 4.13 per 1,000</w:t>
            </w:r>
          </w:p>
        </w:tc>
      </w:tr>
      <w:tr>
        <w:tc>
          <w:tcPr>
            <w:tcW w:type="dxa" w:w="2436"/>
          </w:tcPr>
          <w:p>
            <w:pPr>
              <w:spacing w:after="60"/>
            </w:pPr>
            <w:r>
              <w:rPr>
                <w:b/>
                <w:color w:val="DC1E34"/>
                <w:sz w:val="21"/>
              </w:rPr>
              <w:t>Nurses per 1,000, urban areas</w:t>
            </w:r>
          </w:p>
        </w:tc>
        <w:tc>
          <w:tcPr>
            <w:tcW w:type="dxa" w:w="2436"/>
          </w:tcPr>
          <w:p>
            <w:pPr>
              <w:spacing w:after="60"/>
            </w:pPr>
            <w:r>
              <w:rPr>
                <w:sz w:val="21"/>
              </w:rPr>
              <w:t>Approximately 5.08 per 1,000</w:t>
            </w:r>
          </w:p>
        </w:tc>
        <w:tc>
          <w:tcPr>
            <w:tcW w:type="dxa" w:w="2436"/>
          </w:tcPr>
          <w:p>
            <w:pPr>
              <w:spacing w:after="60"/>
            </w:pPr>
            <w:r>
              <w:rPr>
                <w:b/>
                <w:color w:val="DC1E34"/>
                <w:sz w:val="21"/>
              </w:rPr>
              <w:t>Hospital beds per 1,000 population</w:t>
            </w:r>
          </w:p>
        </w:tc>
        <w:tc>
          <w:tcPr>
            <w:tcW w:type="dxa" w:w="2436"/>
          </w:tcPr>
          <w:p>
            <w:pPr>
              <w:spacing w:after="60"/>
            </w:pPr>
            <w:r>
              <w:rPr>
                <w:sz w:val="21"/>
              </w:rPr>
              <w:t>Approximately 5.6 to 6 per 1,000, above the OECD average of roughly 4.3</w:t>
            </w:r>
          </w:p>
        </w:tc>
      </w:tr>
      <w:tr>
        <w:tc>
          <w:tcPr>
            <w:tcW w:type="dxa" w:w="2436"/>
          </w:tcPr>
          <w:p>
            <w:pPr>
              <w:spacing w:after="60"/>
            </w:pPr>
            <w:r>
              <w:rPr>
                <w:b/>
                <w:color w:val="DC1E34"/>
                <w:sz w:val="21"/>
              </w:rPr>
              <w:t>Total health workforce</w:t>
            </w:r>
          </w:p>
        </w:tc>
        <w:tc>
          <w:tcPr>
            <w:tcW w:type="dxa" w:w="2436"/>
          </w:tcPr>
          <w:p>
            <w:pPr>
              <w:spacing w:after="60"/>
            </w:pPr>
            <w:r>
              <w:rPr>
                <w:sz w:val="21"/>
              </w:rPr>
              <w:t>Approximately 14.41 million as of 2022</w:t>
            </w:r>
          </w:p>
        </w:tc>
        <w:tc>
          <w:tcPr>
            <w:tcW w:type="dxa" w:w="2436"/>
          </w:tcPr>
          <w:p/>
        </w:tc>
        <w:tc>
          <w:tcPr>
            <w:tcW w:type="dxa" w:w="2436"/>
          </w:tcPr>
          <w:p/>
        </w:tc>
      </w:tr>
    </w:tbl>
    <w:p>
      <w:pPr>
        <w:keepNext/>
        <w:spacing w:after="40"/>
      </w:pPr>
    </w:p>
    <w:p>
      <w:r>
        <w:t>The range in national physician density reflects differing source and definitional bases: a Statista-sourced figure runs closer to 3.15 per 1,000, while other national data put the figure nearer 3.4 per 1,000. Either way, the urban-rural gap is the more consequential distribution problem for care access than the national average alone suggests.</w:t>
      </w:r>
      <w:r>
        <w:rPr>
          <w:color w:val="DC1E34"/>
          <w:vertAlign w:val="superscript"/>
        </w:rPr>
        <w:t>17,</w:t>
      </w:r>
      <w:r>
        <w:rPr>
          <w:color w:val="DC1E34"/>
          <w:vertAlign w:val="superscript"/>
        </w:rPr>
        <w:t>18,</w:t>
      </w:r>
      <w:r>
        <w:rPr>
          <w:color w:val="DC1E34"/>
          <w:vertAlign w:val="superscript"/>
        </w:rPr>
        <w:t>19</w:t>
      </w:r>
    </w:p>
    <w:p>
      <w:pPr>
        <w:pStyle w:val="Heading2"/>
        <w:keepNext/>
      </w:pPr>
      <w:bookmarkStart w:id="11" w:name="_sec11"/>
      <w:r>
        <w:rPr>
          <w:color w:val="DC1E34"/>
        </w:rPr>
        <w:t>Education</w:t>
      </w:r>
      <w:bookmarkEnd w:id="11"/>
    </w:p>
    <w:p>
      <w:r>
        <w:t>A 2013 reform introduced the five-plus-three model of medical education: five years of undergraduate medical study followed by three years of standardized residency training in one of 36 recognized specialties. By the end of 2014, roughly 8,500 residency programs across 559 hospitals had enrolled approximately 55,000 residents, with a policy goal that by 2020 all physicians applying for clinical positions would have completed standardized residency training. China also retains an eight-year MD track at a small number of elite institutions and a three-plus-two pathway for training lower-tier practitioners who serve primary and rural care needs.</w:t>
      </w:r>
      <w:r>
        <w:rPr>
          <w:color w:val="DC1E34"/>
          <w:vertAlign w:val="superscript"/>
        </w:rPr>
        <w:t>20,</w:t>
      </w:r>
      <w:r>
        <w:rPr>
          <w:color w:val="DC1E34"/>
          <w:vertAlign w:val="superscript"/>
        </w:rPr>
        <w:t>21</w:t>
      </w:r>
    </w:p>
    <w:p>
      <w:pPr>
        <w:pStyle w:val="Heading2"/>
        <w:keepNext/>
      </w:pPr>
      <w:bookmarkStart w:id="12" w:name="_sec12"/>
      <w:r>
        <w:rPr>
          <w:color w:val="DC1E34"/>
        </w:rPr>
        <w:t>Healthcare Outlook</w:t>
      </w:r>
      <w:bookmarkEnd w:id="12"/>
    </w:p>
    <w:p>
      <w:r>
        <w:t>The 15th Five-Year Plan for National Health, covering 2026 to 2030, targets raising life expectancy to 80 by 2030, curbing further mega-hospital growth, and lays out 24 key tasks to modernize care delivery. Artificial intelligence has moved from pilot projects to core infrastructure in Chinese healthcare: as of roughly May 2025, China had released approximately 300 medical large language models, and county-level AI-assisted imaging had handled more than 68 million cases. China's AI+Healthcare implementation plan calls for pilots across 50 hospitals and 500 township clinics, national health-database integration by the end of 2027, and universal primary-care AI adoption at Grade 2 and above hospitals by 2030. DeepSeek's models have been rapidly adopted across tertiary hospitals since early 2025 for clinical decision support. The government's opening to foreign hospital ownership, combined with an aging and increasingly affluent population, points to durable demand for higher-acuity specialty care and continued interest in cross-border clinical collaboration, even as several earlier foreign partnership models have proven difficult to sustain over the long term.</w:t>
      </w:r>
      <w:r>
        <w:rPr>
          <w:color w:val="DC1E34"/>
          <w:vertAlign w:val="superscript"/>
        </w:rPr>
        <w:t>6,</w:t>
      </w:r>
      <w:r>
        <w:rPr>
          <w:color w:val="DC1E34"/>
          <w:vertAlign w:val="superscript"/>
        </w:rPr>
        <w:t>22,</w:t>
      </w:r>
      <w:r>
        <w:rPr>
          <w:color w:val="DC1E34"/>
          <w:vertAlign w:val="superscript"/>
        </w:rPr>
        <w:t>23</w:t>
      </w:r>
    </w:p>
    <w:p>
      <w:pPr>
        <w:pStyle w:val="Heading2"/>
        <w:keepNext/>
      </w:pPr>
      <w:bookmarkStart w:id="13" w:name="_sec13"/>
      <w:r>
        <w:rPr>
          <w:color w:val="DC1E34"/>
        </w:rPr>
        <w:t>Competitive Landscape</w:t>
      </w:r>
      <w:bookmarkEnd w:id="13"/>
    </w:p>
    <w:p>
      <w:r>
        <w:t>US health system engagement in China is real but uneven, ranging from active consulting relationships and long-running academic exchanges to branded ventures whose current operating status is difficult to confirm from public sources, and at least one case where the underlying facility has closed while the parent relationship persists in some form.</w:t>
      </w:r>
    </w:p>
    <w:p>
      <w:r>
        <w:t>Mayo Clinic's WuXi Diagnostics joint venture with WuXi AppTec, launched in 2018 to build a clinical diagnostics platform for the Chinese market, opened its first research and diagnostic testing facility in Rochester, Minnesota in 2019. That Rochester facility has since closed. However, Mayo Clinic told the Post Bulletin, its hometown newspaper, in February 2024 that the joint venture itself still exists, even as the relationship has come under increased political scrutiny amid a proposed federal BIOSECURE Act naming WuXi entities as national security concerns. The accurate picture is therefore mixed: the US-based R&amp;D facility has definitively closed, but whether the joint venture entity continues to operate at meaningful scale in China is not independently confirmed beyond Mayo's own 2024 statement that it still exists.</w:t>
      </w:r>
    </w:p>
    <w:p>
      <w:r>
        <w:t>Cleveland Clinic has an active relationship in China through two channels. First, Cleveland Clinic Connected, its international clinical-affiliation program, partnered with Luye Medical Group beginning in 2018 to develop Shanghai Luye Lilan Hospital, with Luye Medical as the program's inaugural member. The hospital's opening was delayed by the COVID-19 pandemic from an original 2024 target to 2025; current public sources point to a 2025 opening target but do not confirm the hospital has actually opened as of this writing. Second, Cleveland Clinic appointed an in-country patient representative for China in November 2022 as part of a broader expansion of its global patient-services network, giving it an ongoing, lower-intensity presence independent of the hospital development.</w:t>
      </w:r>
    </w:p>
    <w:p>
      <w:r>
        <w:t>MD Anderson Cancer Center entered a ten-year cooperation agreement with Concord Medical Services, together with a proton therapy training agreement, to support MD Anderson-branded cancer centers in China, including the Wuxi Meizhong Jiahe Cancer Center along with related Concord Medical facilities in Datong and Shanghai. These facilities continue to appear as active parts of Concord Medical's hospital network in the company's recent SEC filings, indicating the underlying centers are still operating. However, the most direct public confirmation of the MD Anderson branding and training relationship itself dates to approximately 2021, so while the facilities appear to remain operational, the current status of the formal MD Anderson partnership as originally structured cannot be independently verified from recent sources.</w:t>
      </w:r>
    </w:p>
    <w:p>
      <w:r>
        <w:t>Among the other major US systems, the picture is more mixed than a blanket claim of no partnerships would suggest. UCLA Health has an active, multi-decade relationship in China: it has held a master affiliation agreement with Zhejiang University since 2001, expanded into a formal academic medical exchange with the university's Second Affiliated Hospital in 2009, and resumed a resident clinical rotation there in March 2024 after a pandemic-driven hiatus. UCLA Health specialists have also been providing ongoing consulting, covering design, staffing, policy, and clinical quality, to Guangzhou R&amp;F Hospital, which is intended to become UCLA Health's first overseas affiliated hospital, though that project's current construction and opening timeline is unconfirmed. UPMC pursued a high-profile 20-year hospital-management joint venture with Wanda Group announced in 2019, intended to build a network of facilities starting with a 500-bed tertiary hospital in Chengdu, and separately signed a shorter-term cancer-care agreement in Hainan; no source found confirms continued active status of either arrangement between 2024 and 2026. Mass General Brigham's China history includes a decade-long relationship with Jiahui Health in Shanghai, but its earlier, higher-profile hospital venture through Brigham Health has been described in subsequent reporting as a commercial disappointment, and no current 2024 to 2026 China partnership activity was found. Houston Methodist, NewYork-Presbyterian, and Northwestern Medicine show no evidence of an active China hospital partnership in current public sources; Northwestern Medicine's most recent major international collaboration, announced in 2024, is with The London Clinic in the United Kingdom rather than a Chinese partner.</w:t>
      </w:r>
    </w:p>
    <w:p>
      <w:r>
        <w:t>Johns Hopkins Medicine International does not have a branded hospital or equity joint venture in China, but it maintains active consulting relationships that a simple no-partnership framing would miss. It has provided hospital policy, procedure, and management consulting to China Northwest International Medical Center in Xi'an since a formal agreement signed in 2018, and since 2016 has consulted with Nanjing Drum Tower Hospital on surgery, medicine, and obstetrics residency training programs, a three-way collaboration that also involves Taikang Life, one of China's largest non-state insurance groups. These are lower-intensity, fee-based advisory engagements rather than co-branded clinical facilities, but they represent genuine, ongoing points of contact between Johns Hopkins and Chinese healthcare institutions.</w:t>
      </w:r>
    </w:p>
    <w:p>
      <w:r>
        <w:t>Memorial Sloan Kettering's collaboration with the Chinese Thoracic Oncology Group is a longer-running and more established series than a single early-edition framing implies. MSK and CTONG have held an annual joint symposium since roughly 2018 focused on international clinical trials, regulatory harmonization, and precision cancer therapies. A fifth annual edition was held virtually on December 2, 2022, drawing an audience of roughly 20,000 across Guangzhou and New York, and the collaboration has continued in subsequent years with joint public statements on accelerating international cancer drug approvals.</w:t>
      </w:r>
    </w:p>
    <w:p>
      <w:r>
        <w:t>For Cedars-Sinai International, the pattern across these cases is instructive: durable China engagement has tended to favor lower-capital models, consulting, academic exchange, clinical-society collaboration, over the equity joint ventures and branded hospital builds that have more often stalled, been delayed for years, or quietly wound down.</w:t>
      </w:r>
      <w:r>
        <w:rPr>
          <w:color w:val="DC1E34"/>
          <w:vertAlign w:val="superscript"/>
        </w:rPr>
        <w:t>24,</w:t>
      </w:r>
      <w:r>
        <w:rPr>
          <w:color w:val="DC1E34"/>
          <w:vertAlign w:val="superscript"/>
        </w:rPr>
        <w:t>25,</w:t>
      </w:r>
      <w:r>
        <w:rPr>
          <w:color w:val="DC1E34"/>
          <w:vertAlign w:val="superscript"/>
        </w:rPr>
        <w:t>26,</w:t>
      </w:r>
      <w:r>
        <w:rPr>
          <w:color w:val="DC1E34"/>
          <w:vertAlign w:val="superscript"/>
        </w:rPr>
        <w:t>27,</w:t>
      </w:r>
      <w:r>
        <w:rPr>
          <w:color w:val="DC1E34"/>
          <w:vertAlign w:val="superscript"/>
        </w:rPr>
        <w:t>28,</w:t>
      </w:r>
      <w:r>
        <w:rPr>
          <w:color w:val="DC1E34"/>
          <w:vertAlign w:val="superscript"/>
        </w:rPr>
        <w:t>29,</w:t>
      </w:r>
      <w:r>
        <w:rPr>
          <w:color w:val="DC1E34"/>
          <w:vertAlign w:val="superscript"/>
        </w:rPr>
        <w:t>30,</w:t>
      </w:r>
      <w:r>
        <w:rPr>
          <w:color w:val="DC1E34"/>
          <w:vertAlign w:val="superscript"/>
        </w:rPr>
        <w:t>31,</w:t>
      </w:r>
      <w:r>
        <w:rPr>
          <w:color w:val="DC1E34"/>
          <w:vertAlign w:val="superscript"/>
        </w:rPr>
        <w:t>32,</w:t>
      </w:r>
      <w:r>
        <w:rPr>
          <w:color w:val="DC1E34"/>
          <w:vertAlign w:val="superscript"/>
        </w:rPr>
        <w:t>33,</w:t>
      </w:r>
      <w:r>
        <w:rPr>
          <w:color w:val="DC1E34"/>
          <w:vertAlign w:val="superscript"/>
        </w:rPr>
        <w:t>34,</w:t>
      </w:r>
      <w:r>
        <w:rPr>
          <w:color w:val="DC1E34"/>
          <w:vertAlign w:val="superscript"/>
        </w:rPr>
        <w:t>35,</w:t>
      </w:r>
      <w:r>
        <w:rPr>
          <w:color w:val="DC1E34"/>
          <w:vertAlign w:val="superscript"/>
        </w:rPr>
        <w:t>36</w:t>
      </w:r>
    </w:p>
    <w:p>
      <w:pPr>
        <w:pStyle w:val="Heading1"/>
        <w:keepNext/>
      </w:pPr>
      <w:bookmarkStart w:id="14" w:name="_sec14"/>
      <w:r>
        <w:rPr>
          <w:color w:val="DC1E34"/>
        </w:rPr>
        <w:t>Recent Developments</w:t>
      </w:r>
      <w:bookmarkEnd w:id="14"/>
    </w:p>
    <w:p>
      <w:pPr>
        <w:spacing w:before="0" w:after="80"/>
        <w:keepNext/>
        <w:pBdr>
          <w:bottom w:val="single" w:sz="12" w:space="1" w:color="DC1E34"/>
        </w:pBdr>
      </w:pPr>
    </w:p>
    <w:p>
      <w:pPr>
        <w:spacing w:after="40"/>
      </w:pPr>
      <w:r>
        <w:rPr>
          <w:b/>
          <w:color w:val="DC1E34"/>
        </w:rPr>
        <w:t xml:space="preserve">2026-07-15  </w:t>
      </w:r>
      <w:r>
        <w:t>China unveils its 15th Five-Year Plan for National Health (2026-2030), targeting a national life expectancy of 80 by 2030, curbs on further mega-hospital expansion, and 24 key tasks to modernize care delivery, including expanded AI adoption.</w:t>
      </w:r>
      <w:r>
        <w:rPr>
          <w:color w:val="DC1E34"/>
          <w:vertAlign w:val="superscript"/>
        </w:rPr>
        <w:t>37</w:t>
      </w:r>
    </w:p>
    <w:p>
      <w:pPr>
        <w:spacing w:after="40"/>
      </w:pPr>
      <w:r>
        <w:rPr>
          <w:b/>
          <w:color w:val="DC1E34"/>
        </w:rPr>
        <w:t xml:space="preserve">2026-05-19  </w:t>
      </w:r>
      <w:r>
        <w:t>Xinhua-linked coverage reports on China's accelerating AI application in healthcare, citing that as of roughly May 2025 China had released approximately 300 medical large language models and that county-level AI-assisted imaging had processed more than 68 million cases; a related State Council Information Office piece covering similar themes was published March 16, 2026.</w:t>
      </w:r>
      <w:r>
        <w:rPr>
          <w:color w:val="DC1E34"/>
          <w:vertAlign w:val="superscript"/>
        </w:rPr>
        <w:t>38,</w:t>
      </w:r>
      <w:r>
        <w:rPr>
          <w:color w:val="DC1E34"/>
          <w:vertAlign w:val="superscript"/>
        </w:rPr>
        <w:t>39</w:t>
      </w:r>
    </w:p>
    <w:p>
      <w:pPr>
        <w:spacing w:after="40"/>
      </w:pPr>
      <w:r>
        <w:rPr>
          <w:b/>
          <w:color w:val="DC1E34"/>
        </w:rPr>
        <w:t xml:space="preserve">2025-01  </w:t>
      </w:r>
      <w:r>
        <w:t>Shanghai begins piloting wholly foreign-owned hospitals, opening a new entry path for international health systems that previously required joint-venture structures.</w:t>
      </w:r>
      <w:r>
        <w:rPr>
          <w:color w:val="DC1E34"/>
          <w:vertAlign w:val="superscript"/>
        </w:rPr>
        <w:t>40,</w:t>
      </w:r>
      <w:r>
        <w:rPr>
          <w:color w:val="DC1E34"/>
          <w:vertAlign w:val="superscript"/>
        </w:rPr>
        <w:t>41</w:t>
      </w:r>
    </w:p>
    <w:p>
      <w:pPr>
        <w:spacing w:after="40"/>
      </w:pPr>
      <w:r>
        <w:rPr>
          <w:b/>
          <w:color w:val="DC1E34"/>
        </w:rPr>
        <w:t xml:space="preserve">2025-02-25  </w:t>
      </w:r>
      <w:r>
        <w:t>DeepSeek's AI models see rapid adoption across Chinese tertiary hospitals for clinical decision support.</w:t>
      </w:r>
      <w:r>
        <w:rPr>
          <w:color w:val="DC1E34"/>
          <w:vertAlign w:val="superscript"/>
        </w:rPr>
        <w:t>42,</w:t>
      </w:r>
      <w:r>
        <w:rPr>
          <w:color w:val="DC1E34"/>
          <w:vertAlign w:val="superscript"/>
        </w:rPr>
        <w:t>43</w:t>
      </w:r>
    </w:p>
    <w:p>
      <w:pPr>
        <w:spacing w:after="40"/>
      </w:pPr>
      <w:r>
        <w:rPr>
          <w:b/>
          <w:color w:val="DC1E34"/>
        </w:rPr>
        <w:t xml:space="preserve">2024-12-11  </w:t>
      </w:r>
      <w:r>
        <w:t>IHH Healthcare's Parkway Shanghai marks its 20th anniversary in the Chinese market and announces plans to open a new flagship ambulatory care center in downtown Shanghai, targeted for 2025.</w:t>
      </w:r>
      <w:r>
        <w:rPr>
          <w:color w:val="DC1E34"/>
          <w:vertAlign w:val="superscript"/>
        </w:rPr>
        <w:t>44,</w:t>
      </w:r>
      <w:r>
        <w:rPr>
          <w:color w:val="DC1E34"/>
          <w:vertAlign w:val="superscript"/>
        </w:rPr>
        <w:t>45</w:t>
      </w:r>
    </w:p>
    <w:p>
      <w:pPr>
        <w:spacing w:after="40"/>
      </w:pPr>
      <w:r>
        <w:rPr>
          <w:b/>
          <w:color w:val="DC1E34"/>
        </w:rPr>
        <w:t xml:space="preserve">2024-06-01  </w:t>
      </w:r>
      <w:r>
        <w:t>Mayo Clinic opens its first office in China, even as the separate WuXi Diagnostics joint venture's Rochester, Minnesota research facility has closed and the relationship faces new political scrutiny; Mayo has stated the joint venture itself still exists.</w:t>
      </w:r>
      <w:r>
        <w:rPr>
          <w:color w:val="DC1E34"/>
          <w:vertAlign w:val="superscript"/>
        </w:rPr>
        <w:t>46,</w:t>
      </w:r>
      <w:r>
        <w:rPr>
          <w:color w:val="DC1E34"/>
          <w:vertAlign w:val="superscript"/>
        </w:rPr>
        <w:t>47</w:t>
      </w:r>
    </w:p>
    <w:p>
      <w:pPr>
        <w:pStyle w:val="Heading1"/>
        <w:keepNext/>
        <w:pageBreakBefore w:val="0"/>
      </w:pPr>
      <w:bookmarkStart w:id="15" w:name="_sec15"/>
      <w:r>
        <w:rPr>
          <w:color w:val="DC1E34"/>
        </w:rPr>
        <w:t>CSI Assessment</w:t>
      </w:r>
      <w:bookmarkEnd w:id="15"/>
    </w:p>
    <w:p>
      <w:pPr>
        <w:spacing w:before="0" w:after="80"/>
        <w:keepNext/>
        <w:pBdr>
          <w:bottom w:val="single" w:sz="12" w:space="1" w:color="DC1E34"/>
        </w:pBdr>
      </w:pPr>
    </w:p>
    <w:p>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spacing w:after="200"/>
      </w:pPr>
      <w:r>
        <w:rPr>
          <w:b/>
          <w:color w:val="DC1E34"/>
        </w:rPr>
        <w:t>Patient Volume &amp; Revenue (most recent FY)</w:t>
        <w:br/>
      </w:r>
      <w:r>
        <w:rPr>
          <w:b/>
          <w:color w:val="996A00"/>
          <w:highlight w:val="yellow"/>
        </w:rPr>
        <w:t>[MANUAL INPUT REQUIRED]</w:t>
      </w:r>
    </w:p>
    <w:p>
      <w:pPr>
        <w:spacing w:after="200"/>
      </w:pPr>
      <w:r>
        <w:rPr>
          <w:b/>
          <w:color w:val="DC1E34"/>
        </w:rPr>
        <w:t>Referral Sources</w:t>
        <w:br/>
      </w:r>
      <w:r>
        <w:rPr>
          <w:b/>
          <w:color w:val="996A00"/>
          <w:highlight w:val="yellow"/>
        </w:rPr>
        <w:t>[MANUAL INPUT REQUIRED]</w:t>
      </w:r>
    </w:p>
    <w:p>
      <w:pPr>
        <w:spacing w:after="200"/>
      </w:pPr>
      <w:r>
        <w:rPr>
          <w:b/>
          <w:color w:val="DC1E34"/>
        </w:rPr>
        <w:t>Relationship History</w:t>
        <w:br/>
      </w:r>
      <w:r>
        <w:rPr>
          <w:b/>
          <w:color w:val="996A00"/>
          <w:highlight w:val="yellow"/>
        </w:rPr>
        <w:t>[MANUAL INPUT REQUIRED]</w:t>
      </w:r>
    </w:p>
    <w:p>
      <w:pPr>
        <w:spacing w:after="200"/>
      </w:pPr>
      <w:r>
        <w:rPr>
          <w:b/>
          <w:color w:val="DC1E34"/>
        </w:rPr>
        <w:t>Complications</w:t>
        <w:br/>
      </w:r>
      <w:r>
        <w:rPr>
          <w:b/>
          <w:color w:val="996A00"/>
          <w:highlight w:val="yellow"/>
        </w:rPr>
        <w:t>[MANUAL INPUT REQUIRED]</w:t>
      </w:r>
    </w:p>
    <w:p>
      <w:pPr>
        <w:spacing w:after="200"/>
      </w:pPr>
      <w:r>
        <w:rPr>
          <w:b/>
          <w:color w:val="DC1E34"/>
        </w:rPr>
        <w:t>Key Contacts</w:t>
        <w:br/>
      </w:r>
      <w:r>
        <w:rPr>
          <w:b/>
          <w:color w:val="996A00"/>
          <w:highlight w:val="yellow"/>
        </w:rPr>
        <w:t>[MANUAL INPUT REQUIRED]</w:t>
      </w:r>
    </w:p>
    <w:p>
      <w:pPr>
        <w:spacing w:after="200"/>
      </w:pPr>
      <w:r>
        <w:rPr>
          <w:b/>
          <w:color w:val="DC1E34"/>
        </w:rPr>
        <w:t>Opportunities</w:t>
        <w:br/>
      </w:r>
      <w:r>
        <w:rPr>
          <w:b/>
          <w:color w:val="996A00"/>
          <w:highlight w:val="yellow"/>
        </w:rPr>
        <w:t>[MANUAL INPUT REQUIRED]</w:t>
      </w:r>
    </w:p>
    <w:p>
      <w:pPr>
        <w:spacing w:after="200"/>
      </w:pPr>
      <w:r>
        <w:rPr>
          <w:b/>
          <w:color w:val="DC1E34"/>
        </w:rPr>
        <w:t>CSI Recommendation</w:t>
        <w:br/>
      </w:r>
      <w:r>
        <w:rPr>
          <w:b/>
          <w:color w:val="996A00"/>
          <w:highlight w:val="yellow"/>
        </w:rPr>
        <w:t>[MANUAL INPUT REQUIRED]</w:t>
      </w:r>
    </w:p>
    <w:sectPr w:rsidR="00FC693F" w:rsidRPr="0006063C" w:rsidSect="00034616">
      <w:footerReference w:type="default" r:id="rId9"/>
      <w:headerReference w:type="default" r:id="rId11"/>
      <w:headerReference w:type="first" r:id="rId12"/>
      <w:headerReference w:type="even" r:id="rId13"/>
      <w:footerReference w:type="first" r:id="rId14"/>
      <w:footerReference w:type="even" r:id="rId15"/>
      <w:pgSz w:w="12240" w:h="15840"/>
      <w:pgMar w:top="1020" w:right="1247" w:bottom="1020" w:left="1247" w:header="10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6777A"/>
        <w:sz w:val="15"/>
      </w:rPr>
      <w:t xml:space="preserve">Cedars-Sinai International   </w:t>
    </w:r>
    <w:r>
      <w:rPr>
        <w:rFonts w:ascii="Arial" w:hAnsi="Arial"/>
        <w:color w:val="76777A"/>
        <w:sz w:val="15"/>
      </w:rPr>
      <w:fldChar w:fldCharType="begin"/>
    </w:r>
    <w:r>
      <w:rPr>
        <w:rFonts w:ascii="Arial" w:hAnsi="Arial"/>
        <w:color w:val="76777A"/>
        <w:sz w:val="15"/>
      </w:rPr>
      <w:instrText xml:space="preserve"> PAGE </w:instrText>
    </w:r>
    <w:r>
      <w:rPr>
        <w:rFonts w:ascii="Arial" w:hAnsi="Arial"/>
        <w:color w:val="76777A"/>
        <w:sz w:val="15"/>
      </w:rPr>
      <w:fldChar w:fldCharType="separate"/>
    </w:r>
    <w:r>
      <w:rPr>
        <w:rFonts w:ascii="Arial" w:hAnsi="Arial"/>
        <w:color w:val="76777A"/>
        <w:sz w:val="15"/>
      </w:rPr>
      <w:t/>
    </w:r>
    <w:r>
      <w:rPr>
        <w:rFonts w:ascii="Arial" w:hAnsi="Arial"/>
        <w:color w:val="76777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China</w:t>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China</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CHINA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CHINA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CHINA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s="Arial" w:eastAsia="Arial"/>
      <w:color w:val="2828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440" w:after="200"/>
      <w:outlineLvl w:val="0"/>
    </w:pPr>
    <w:rPr>
      <w:rFonts w:cstheme="majorBidi" w:ascii="Arial" w:hAnsi="Arial" w:cs="Arial" w:eastAsia="Arial"/>
      <w:b/>
      <w:bCs/>
      <w:color w:val="DC1E3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cstheme="majorBidi" w:ascii="Arial" w:hAnsi="Arial" w:cs="Arial" w:eastAsia="Arial"/>
      <w:b/>
      <w:bCs/>
      <w:color w:val="DC1E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cs="Arial" w:eastAsia="Arial"/>
      <w:b/>
      <w:bCs/>
      <w:color w:val="DC1E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cs="Arial" w:eastAsia="Arial"/>
      <w:b/>
      <w:bCs/>
      <w:i/>
      <w:iCs/>
      <w:color w:val="DC1E3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cs="Arial" w:eastAsia="Arial"/>
      <w:color w:val="DC1E3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cs="Arial" w:eastAsia="Arial"/>
      <w:i/>
      <w:iCs/>
      <w:color w:val="DC1E3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cs="Arial" w:eastAsia="Arial"/>
      <w:i/>
      <w:iCs/>
      <w:color w:val="DC1E3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cs="Arial" w:eastAsia="Arial"/>
      <w:color w:val="DC1E3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cs="Arial" w:eastAsia="Arial"/>
      <w:i/>
      <w:iCs/>
      <w:color w:val="DC1E34"/>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cstheme="majorBidi" w:ascii="Arial" w:hAnsi="Arial" w:cs="Arial" w:eastAsia="Arial"/>
      <w:b/>
      <w:bCs/>
      <w:color w:val="DC1E34"/>
      <w:sz w:val="28"/>
      <w:szCs w:val="28"/>
    </w:rPr>
  </w:style>
  <w:style w:type="character" w:customStyle="1" w:styleId="Heading2Char">
    <w:name w:val="Heading 2 Char"/>
    <w:basedOn w:val="DefaultParagraphFont"/>
    <w:link w:val="Heading2"/>
    <w:uiPriority w:val="9"/>
    <w:rsid w:val="00FC693F"/>
    <w:rPr>
      <w:rFonts w:cstheme="majorBidi" w:ascii="Arial" w:hAnsi="Arial" w:cs="Arial" w:eastAsia="Arial"/>
      <w:b/>
      <w:bCs/>
      <w:color w:val="DC1E34"/>
      <w:sz w:val="26"/>
      <w:szCs w:val="26"/>
    </w:rPr>
  </w:style>
  <w:style w:type="character" w:customStyle="1" w:styleId="Heading3Char">
    <w:name w:val="Heading 3 Char"/>
    <w:basedOn w:val="DefaultParagraphFont"/>
    <w:link w:val="Heading3"/>
    <w:uiPriority w:val="9"/>
    <w:rsid w:val="00FC693F"/>
    <w:rPr>
      <w:rFonts w:cstheme="majorBidi" w:ascii="Arial" w:hAnsi="Arial" w:cs="Arial" w:eastAsia="Arial"/>
      <w:b/>
      <w:bCs/>
      <w:color w:val="DC1E3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Arial" w:hAnsi="Arial" w:cs="Arial" w:eastAsia="Arial"/>
      <w:color w:val="DC1E34"/>
      <w:spacing w:val="5"/>
      <w:kern w:val="28"/>
      <w:sz w:val="52"/>
      <w:szCs w:val="52"/>
    </w:rPr>
  </w:style>
  <w:style w:type="character" w:customStyle="1" w:styleId="TitleChar">
    <w:name w:val="Title Char"/>
    <w:basedOn w:val="DefaultParagraphFont"/>
    <w:link w:val="Title"/>
    <w:uiPriority w:val="10"/>
    <w:rsid w:val="00FC693F"/>
    <w:rPr>
      <w:rFonts w:cstheme="majorBidi" w:ascii="Arial" w:hAnsi="Arial" w:cs="Arial" w:eastAsia="Arial"/>
      <w:color w:val="DC1E34"/>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cs="Arial" w:eastAsia="Arial"/>
      <w:i/>
      <w:iCs/>
      <w:color w:val="4F81BD"/>
      <w:spacing w:val="15"/>
      <w:sz w:val="24"/>
      <w:szCs w:val="24"/>
    </w:rPr>
  </w:style>
  <w:style w:type="character" w:customStyle="1" w:styleId="SubtitleChar">
    <w:name w:val="Subtitle Char"/>
    <w:basedOn w:val="DefaultParagraphFont"/>
    <w:link w:val="Subtitle"/>
    <w:uiPriority w:val="11"/>
    <w:rsid w:val="00FC693F"/>
    <w:rPr>
      <w:rFonts w:cstheme="majorBidi" w:ascii="Arial" w:hAnsi="Arial" w:cs="Arial" w:eastAsia="Arial"/>
      <w:i/>
      <w:iCs/>
      <w:color w:val="4F81BD"/>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rPr>
  </w:style>
  <w:style w:type="character" w:customStyle="1" w:styleId="QuoteChar">
    <w:name w:val="Quote Char"/>
    <w:basedOn w:val="DefaultParagraphFont"/>
    <w:link w:val="Quote"/>
    <w:uiPriority w:val="29"/>
    <w:rsid w:val="00FC693F"/>
    <w:rPr>
      <w:rFonts w:ascii="Arial" w:hAnsi="Arial" w:cs="Arial" w:eastAsia="Arial"/>
      <w:i/>
      <w:iCs/>
      <w:color w:val="000000"/>
    </w:rPr>
  </w:style>
  <w:style w:type="character" w:customStyle="1" w:styleId="Heading4Char">
    <w:name w:val="Heading 4 Char"/>
    <w:basedOn w:val="DefaultParagraphFont"/>
    <w:link w:val="Heading4"/>
    <w:uiPriority w:val="9"/>
    <w:semiHidden/>
    <w:rsid w:val="00FC693F"/>
    <w:rPr>
      <w:rFonts w:cstheme="majorBidi" w:ascii="Arial" w:hAnsi="Arial" w:cs="Arial" w:eastAsia="Arial"/>
      <w:b/>
      <w:bCs/>
      <w:i/>
      <w:iCs/>
      <w:color w:val="DC1E34"/>
    </w:rPr>
  </w:style>
  <w:style w:type="character" w:customStyle="1" w:styleId="Heading5Char">
    <w:name w:val="Heading 5 Char"/>
    <w:basedOn w:val="DefaultParagraphFont"/>
    <w:link w:val="Heading5"/>
    <w:uiPriority w:val="9"/>
    <w:semiHidden/>
    <w:rsid w:val="00FC693F"/>
    <w:rPr>
      <w:rFonts w:cstheme="majorBidi" w:ascii="Arial" w:hAnsi="Arial" w:cs="Arial" w:eastAsia="Arial"/>
      <w:color w:val="DC1E34"/>
    </w:rPr>
  </w:style>
  <w:style w:type="character" w:customStyle="1" w:styleId="Heading6Char">
    <w:name w:val="Heading 6 Char"/>
    <w:basedOn w:val="DefaultParagraphFont"/>
    <w:link w:val="Heading6"/>
    <w:uiPriority w:val="9"/>
    <w:semiHidden/>
    <w:rsid w:val="00FC693F"/>
    <w:rPr>
      <w:rFonts w:cstheme="majorBidi" w:ascii="Arial" w:hAnsi="Arial" w:cs="Arial" w:eastAsia="Arial"/>
      <w:i/>
      <w:iCs/>
      <w:color w:val="DC1E34"/>
    </w:rPr>
  </w:style>
  <w:style w:type="character" w:customStyle="1" w:styleId="Heading7Char">
    <w:name w:val="Heading 7 Char"/>
    <w:basedOn w:val="DefaultParagraphFont"/>
    <w:link w:val="Heading7"/>
    <w:uiPriority w:val="9"/>
    <w:semiHidden/>
    <w:rsid w:val="00FC693F"/>
    <w:rPr>
      <w:rFonts w:cstheme="majorBidi" w:ascii="Arial" w:hAnsi="Arial" w:cs="Arial" w:eastAsia="Arial"/>
      <w:i/>
      <w:iCs/>
      <w:color w:val="DC1E34"/>
    </w:rPr>
  </w:style>
  <w:style w:type="character" w:customStyle="1" w:styleId="Heading8Char">
    <w:name w:val="Heading 8 Char"/>
    <w:basedOn w:val="DefaultParagraphFont"/>
    <w:link w:val="Heading8"/>
    <w:uiPriority w:val="9"/>
    <w:semiHidden/>
    <w:rsid w:val="00FC693F"/>
    <w:rPr>
      <w:rFonts w:cstheme="majorBidi" w:ascii="Arial" w:hAnsi="Arial" w:cs="Arial" w:eastAsia="Arial"/>
      <w:color w:val="DC1E34"/>
      <w:sz w:val="20"/>
      <w:szCs w:val="20"/>
    </w:rPr>
  </w:style>
  <w:style w:type="character" w:customStyle="1" w:styleId="Heading9Char">
    <w:name w:val="Heading 9 Char"/>
    <w:basedOn w:val="DefaultParagraphFont"/>
    <w:link w:val="Heading9"/>
    <w:uiPriority w:val="9"/>
    <w:semiHidden/>
    <w:rsid w:val="00FC693F"/>
    <w:rPr>
      <w:rFonts w:cstheme="majorBidi" w:ascii="Arial" w:hAnsi="Arial" w:cs="Arial" w:eastAsia="Arial"/>
      <w:i/>
      <w:iCs/>
      <w:color w:val="DC1E34"/>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rPr>
  </w:style>
  <w:style w:type="character" w:styleId="SubtleEmphasis">
    <w:name w:val="Subtle Emphasis"/>
    <w:basedOn w:val="DefaultParagraphFont"/>
    <w:uiPriority w:val="19"/>
    <w:qFormat/>
    <w:rsid w:val="00FC693F"/>
    <w:rPr>
      <w:rFonts w:ascii="Arial" w:hAnsi="Arial" w:cs="Arial" w:eastAsia="Arial"/>
      <w:i/>
      <w:iCs/>
      <w:color w:val="808080"/>
    </w:rPr>
  </w:style>
  <w:style w:type="character" w:styleId="IntenseEmphasis">
    <w:name w:val="Intense Emphasis"/>
    <w:basedOn w:val="DefaultParagraphFont"/>
    <w:uiPriority w:val="21"/>
    <w:qFormat/>
    <w:rsid w:val="00FC693F"/>
    <w:rPr>
      <w:rFonts w:ascii="Arial" w:hAnsi="Arial" w:cs="Arial" w:eastAsia="Arial"/>
      <w:b/>
      <w:bCs/>
      <w:i/>
      <w:iCs/>
      <w:color w:val="4F81BD"/>
    </w:rPr>
  </w:style>
  <w:style w:type="character" w:styleId="SubtleReference">
    <w:name w:val="Subtle Reference"/>
    <w:basedOn w:val="DefaultParagraphFont"/>
    <w:uiPriority w:val="31"/>
    <w:qFormat/>
    <w:rsid w:val="00FC693F"/>
    <w:rPr>
      <w:rFonts w:ascii="Arial" w:hAnsi="Arial" w:cs="Arial" w:eastAsia="Arial"/>
      <w:smallCaps/>
      <w:color w:val="C0504D"/>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000000" w:themeColor="text1"/>
        </w:tcBorders>
      </w:tcPr>
    </w:tblStylePr>
    <w:tblStylePr w:type="lastRow">
      <w:rPr>
        <w:b/>
        <w:bCs/>
        <w:color w:val="DC1E3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F81BD" w:themeColor="accent1"/>
        </w:tcBorders>
      </w:tcPr>
    </w:tblStylePr>
    <w:tblStylePr w:type="lastRow">
      <w:rPr>
        <w:b/>
        <w:bCs/>
        <w:color w:val="DC1E3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C0504D" w:themeColor="accent2"/>
        </w:tcBorders>
      </w:tcPr>
    </w:tblStylePr>
    <w:tblStylePr w:type="lastRow">
      <w:rPr>
        <w:b/>
        <w:bCs/>
        <w:color w:val="DC1E3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9BBB59" w:themeColor="accent3"/>
        </w:tcBorders>
      </w:tcPr>
    </w:tblStylePr>
    <w:tblStylePr w:type="lastRow">
      <w:rPr>
        <w:b/>
        <w:bCs/>
        <w:color w:val="DC1E3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8064A2" w:themeColor="accent4"/>
        </w:tcBorders>
      </w:tcPr>
    </w:tblStylePr>
    <w:tblStylePr w:type="lastRow">
      <w:rPr>
        <w:b/>
        <w:bCs/>
        <w:color w:val="DC1E3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BACC6" w:themeColor="accent5"/>
        </w:tcBorders>
      </w:tcPr>
    </w:tblStylePr>
    <w:tblStylePr w:type="lastRow">
      <w:rPr>
        <w:b/>
        <w:bCs/>
        <w:color w:val="DC1E3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F79646" w:themeColor="accent6"/>
        </w:tcBorders>
      </w:tcPr>
    </w:tblStylePr>
    <w:tblStylePr w:type="lastRow">
      <w:rPr>
        <w:b/>
        <w:bCs/>
        <w:color w:val="DC1E3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Cedars-Sinai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