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20" w:lineRule="exact"/>
        <w:ind w:left="0" w:firstLine="0" w:right="0"/>
        <w:jc w:val="left"/>
      </w:pPr>
      <w:r>
        <w:rPr>
          <w:rFonts w:ascii="Arial" w:hAnsi="Arial" w:eastAsia="Arial" w:cs="Arial"/>
          <w:color w:val="DC1E34"/>
          <w:sz w:val="18"/>
          <w:szCs w:val="18"/>
          <w:b w:val="1"/>
        </w:rPr>
        <w:t>COUNTRY PROFILE AND MARKET INTELLIGENCE</w:t>
      </w:r>
    </w:p>
    <w:p>
      <w:pPr>
        <w:pStyle w:val="Title"/>
        <w:widowControl/>
        <w:spacing w:before="0" w:after="80" w:line="700" w:lineRule="exact"/>
        <w:ind w:left="0" w:firstLine="0" w:right="0"/>
        <w:jc w:val="left"/>
      </w:pPr>
      <w:r>
        <w:rPr>
          <w:rFonts w:ascii="Arial" w:hAnsi="Arial" w:eastAsia="Arial" w:cs="Arial"/>
          <w:color w:val="DC1E34"/>
          <w:sz w:val="60"/>
          <w:szCs w:val="60"/>
          <w:b w:val="1"/>
        </w:rPr>
        <w:t>Indonesia</w:t>
      </w:r>
    </w:p>
    <w:p>
      <w:pPr>
        <w:widowControl/>
        <w:spacing w:before="0" w:after="300" w:line="340" w:lineRule="exact"/>
        <w:ind w:left="0" w:firstLine="0" w:right="0"/>
        <w:jc w:val="left"/>
      </w:pPr>
      <w:r>
        <w:rPr>
          <w:rFonts w:ascii="Arial" w:hAnsi="Arial" w:eastAsia="Arial" w:cs="Arial"/>
          <w:color w:val="282829"/>
          <w:sz w:val="26"/>
          <w:szCs w:val="26"/>
        </w:rPr>
        <w:t>Country profile</w:t>
      </w:r>
    </w:p>
    <w:p>
      <w:pPr>
        <w:keepNext/>
        <w:spacing w:after="120" w:before="60" w:line="240" w:lineRule="auto"/>
        <w:ind w:left="0" w:firstLine="0" w:right="0"/>
      </w:pPr>
      <w:r>
        <w:drawing>
          <wp:inline xmlns:a="http://schemas.openxmlformats.org/drawingml/2006/main" xmlns:pic="http://schemas.openxmlformats.org/drawingml/2006/picture" distL="0" distR="0" distT="0" distB="0">
            <wp:extent cx="6400800" cy="3601872"/>
            <wp:effectExtent l="0" t="0" r="0" b="0"/>
            <wp:docPr id="1" name="Picture 1"/>
            <wp:cNvGraphicFramePr>
              <a:graphicFrameLocks noChangeAspect="1"/>
            </wp:cNvGraphicFramePr>
            <a:graphic>
              <a:graphicData uri="http://schemas.openxmlformats.org/drawingml/2006/picture">
                <pic:pic>
                  <pic:nvPicPr>
                    <pic:cNvPr id="0" name="Indonesia.jpg"/>
                    <pic:cNvPicPr/>
                  </pic:nvPicPr>
                  <pic:blipFill>
                    <a:blip r:embed="rId11"/>
                    <a:stretch>
                      <a:fillRect/>
                    </a:stretch>
                  </pic:blipFill>
                  <pic:spPr>
                    <a:xfrm>
                      <a:off x="0" y="0"/>
                      <a:ext cx="6400800" cy="3601872"/>
                    </a:xfrm>
                    <a:prstGeom prst="rect"/>
                  </pic:spPr>
                </pic:pic>
              </a:graphicData>
            </a:graphic>
          </wp:inline>
        </w:drawing>
      </w:r>
    </w:p>
    <w:p>
      <w:pPr>
        <w:keepLines/>
        <w:widowControl/>
        <w:spacing w:before="0" w:after="200" w:line="228" w:lineRule="exact"/>
        <w:ind w:left="0" w:firstLine="0" w:right="0"/>
        <w:jc w:val="right"/>
      </w:pPr>
      <w:r>
        <w:rPr>
          <w:rFonts w:ascii="Arial" w:hAnsi="Arial" w:eastAsia="Arial" w:cs="Arial"/>
          <w:color w:val="616161"/>
          <w:sz w:val="18"/>
          <w:szCs w:val="18"/>
        </w:rPr>
        <w:t>Photo: Gunawan Kartapranata (Public domain), via Wikimedia Commons</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Contents</w:t>
      </w:r>
    </w:p>
    <w:p>
      <w:pPr>
        <w:widowControl/>
        <w:tabs>
          <w:tab w:pos="10080" w:val="right" w:leader="dot"/>
        </w:tabs>
        <w:spacing w:before="0" w:after="60" w:line="280" w:lineRule="exact"/>
        <w:ind w:left="0" w:firstLine="0" w:right="0"/>
        <w:jc w:val="left"/>
      </w:pPr>
      <w:hyperlink w:anchor="overview">
        <w:r>
          <w:rPr>
            <w:rFonts w:ascii="Arial" w:hAnsi="Arial" w:eastAsia="Arial" w:cs="Arial"/>
            <w:color w:val="282829"/>
            <w:sz w:val="21"/>
            <w:szCs w:val="21"/>
          </w:rPr>
          <w:t xml:space="preserve">Country overview and government</w:t>
        </w:r>
      </w:hyperlink>
      <w:r>
        <w:rPr>
          <w:rFonts w:ascii="Arial" w:hAnsi="Arial" w:eastAsia="Arial" w:cs="Arial"/>
          <w:color w:val="282829"/>
          <w:sz w:val="21"/>
          <w:szCs w:val="21"/>
        </w:rPr>
        <w:tab/>
      </w:r>
      <w:r>
        <w:fldChar w:fldCharType="begin"/>
      </w:r>
      <w:r>
        <w:instrText> PAGEREF overview \h </w:instrText>
      </w:r>
      <w:r>
        <w:fldChar w:fldCharType="separate"/>
      </w:r>
      <w:r>
        <w:t>2</w:t>
      </w:r>
      <w:r>
        <w:fldChar w:fldCharType="end"/>
      </w:r>
    </w:p>
    <w:p>
      <w:pPr>
        <w:widowControl/>
        <w:tabs>
          <w:tab w:pos="10080" w:val="right" w:leader="dot"/>
        </w:tabs>
        <w:spacing w:before="0" w:after="60" w:line="280" w:lineRule="exact"/>
        <w:ind w:left="0" w:firstLine="0" w:right="0"/>
        <w:jc w:val="left"/>
      </w:pPr>
      <w:hyperlink w:anchor="economy">
        <w:r>
          <w:rPr>
            <w:rFonts w:ascii="Arial" w:hAnsi="Arial" w:eastAsia="Arial" w:cs="Arial"/>
            <w:color w:val="282829"/>
            <w:sz w:val="21"/>
            <w:szCs w:val="21"/>
          </w:rPr>
          <w:t xml:space="preserve">Economy and healthcare outlook</w:t>
        </w:r>
      </w:hyperlink>
      <w:r>
        <w:rPr>
          <w:rFonts w:ascii="Arial" w:hAnsi="Arial" w:eastAsia="Arial" w:cs="Arial"/>
          <w:color w:val="282829"/>
          <w:sz w:val="21"/>
          <w:szCs w:val="21"/>
        </w:rPr>
        <w:tab/>
      </w:r>
      <w:r>
        <w:fldChar w:fldCharType="begin"/>
      </w:r>
      <w:r>
        <w:instrText> PAGEREF economy \h </w:instrText>
      </w:r>
      <w:r>
        <w:fldChar w:fldCharType="separate"/>
      </w:r>
      <w:r>
        <w:t>3</w:t>
      </w:r>
      <w:r>
        <w:fldChar w:fldCharType="end"/>
      </w:r>
    </w:p>
    <w:p>
      <w:pPr>
        <w:widowControl/>
        <w:tabs>
          <w:tab w:pos="10080" w:val="right" w:leader="dot"/>
        </w:tabs>
        <w:spacing w:before="0" w:after="60" w:line="280" w:lineRule="exact"/>
        <w:ind w:left="0" w:firstLine="0" w:right="0"/>
        <w:jc w:val="left"/>
      </w:pPr>
      <w:hyperlink w:anchor="disease">
        <w:r>
          <w:rPr>
            <w:rFonts w:ascii="Arial" w:hAnsi="Arial" w:eastAsia="Arial" w:cs="Arial"/>
            <w:color w:val="282829"/>
            <w:sz w:val="21"/>
            <w:szCs w:val="21"/>
          </w:rPr>
          <w:t xml:space="preserve">Disease prevalence</w:t>
        </w:r>
      </w:hyperlink>
      <w:r>
        <w:rPr>
          <w:rFonts w:ascii="Arial" w:hAnsi="Arial" w:eastAsia="Arial" w:cs="Arial"/>
          <w:color w:val="282829"/>
          <w:sz w:val="21"/>
          <w:szCs w:val="21"/>
        </w:rPr>
        <w:tab/>
      </w:r>
      <w:r>
        <w:fldChar w:fldCharType="begin"/>
      </w:r>
      <w:r>
        <w:instrText> PAGEREF disease \h </w:instrText>
      </w:r>
      <w:r>
        <w:fldChar w:fldCharType="separate"/>
      </w:r>
      <w:r>
        <w:t>3</w:t>
      </w:r>
      <w:r>
        <w:fldChar w:fldCharType="end"/>
      </w:r>
    </w:p>
    <w:p>
      <w:pPr>
        <w:widowControl/>
        <w:tabs>
          <w:tab w:pos="10080" w:val="right" w:leader="dot"/>
        </w:tabs>
        <w:spacing w:before="0" w:after="60" w:line="280" w:lineRule="exact"/>
        <w:ind w:left="0" w:firstLine="0" w:right="0"/>
        <w:jc w:val="left"/>
      </w:pPr>
      <w:hyperlink w:anchor="delivery">
        <w:r>
          <w:rPr>
            <w:rFonts w:ascii="Arial" w:hAnsi="Arial" w:eastAsia="Arial" w:cs="Arial"/>
            <w:color w:val="282829"/>
            <w:sz w:val="21"/>
            <w:szCs w:val="21"/>
          </w:rPr>
          <w:t xml:space="preserve">Healthcare delivery</w:t>
        </w:r>
      </w:hyperlink>
      <w:r>
        <w:rPr>
          <w:rFonts w:ascii="Arial" w:hAnsi="Arial" w:eastAsia="Arial" w:cs="Arial"/>
          <w:color w:val="282829"/>
          <w:sz w:val="21"/>
          <w:szCs w:val="21"/>
        </w:rPr>
        <w:tab/>
      </w:r>
      <w:r>
        <w:fldChar w:fldCharType="begin"/>
      </w:r>
      <w:r>
        <w:instrText> PAGEREF delivery \h </w:instrText>
      </w:r>
      <w:r>
        <w:fldChar w:fldCharType="separate"/>
      </w:r>
      <w:r>
        <w:t>4</w:t>
      </w:r>
      <w:r>
        <w:fldChar w:fldCharType="end"/>
      </w:r>
    </w:p>
    <w:p>
      <w:pPr>
        <w:widowControl/>
        <w:tabs>
          <w:tab w:pos="10080" w:val="right" w:leader="dot"/>
        </w:tabs>
        <w:spacing w:before="0" w:after="60" w:line="280" w:lineRule="exact"/>
        <w:ind w:left="0" w:firstLine="0" w:right="0"/>
        <w:jc w:val="left"/>
      </w:pPr>
      <w:hyperlink w:anchor="financing">
        <w:r>
          <w:rPr>
            <w:rFonts w:ascii="Arial" w:hAnsi="Arial" w:eastAsia="Arial" w:cs="Arial"/>
            <w:color w:val="282829"/>
            <w:sz w:val="21"/>
            <w:szCs w:val="21"/>
          </w:rPr>
          <w:t xml:space="preserve">Healthcare financing</w:t>
        </w:r>
      </w:hyperlink>
      <w:r>
        <w:rPr>
          <w:rFonts w:ascii="Arial" w:hAnsi="Arial" w:eastAsia="Arial" w:cs="Arial"/>
          <w:color w:val="282829"/>
          <w:sz w:val="21"/>
          <w:szCs w:val="21"/>
        </w:rPr>
        <w:tab/>
      </w:r>
      <w:r>
        <w:fldChar w:fldCharType="begin"/>
      </w:r>
      <w:r>
        <w:instrText> PAGEREF financing \h </w:instrText>
      </w:r>
      <w:r>
        <w:fldChar w:fldCharType="separate"/>
      </w:r>
      <w:r>
        <w:t>5</w:t>
      </w:r>
      <w:r>
        <w:fldChar w:fldCharType="end"/>
      </w:r>
    </w:p>
    <w:p>
      <w:pPr>
        <w:widowControl/>
        <w:tabs>
          <w:tab w:pos="10080" w:val="right" w:leader="dot"/>
        </w:tabs>
        <w:spacing w:before="0" w:after="60" w:line="280" w:lineRule="exact"/>
        <w:ind w:left="0" w:firstLine="0" w:right="0"/>
        <w:jc w:val="left"/>
      </w:pPr>
      <w:hyperlink w:anchor="workforce">
        <w:r>
          <w:rPr>
            <w:rFonts w:ascii="Arial" w:hAnsi="Arial" w:eastAsia="Arial" w:cs="Arial"/>
            <w:color w:val="282829"/>
            <w:sz w:val="21"/>
            <w:szCs w:val="21"/>
          </w:rPr>
          <w:t xml:space="preserve">Workforce and education</w:t>
        </w:r>
      </w:hyperlink>
      <w:r>
        <w:rPr>
          <w:rFonts w:ascii="Arial" w:hAnsi="Arial" w:eastAsia="Arial" w:cs="Arial"/>
          <w:color w:val="282829"/>
          <w:sz w:val="21"/>
          <w:szCs w:val="21"/>
        </w:rPr>
        <w:tab/>
      </w:r>
      <w:r>
        <w:fldChar w:fldCharType="begin"/>
      </w:r>
      <w:r>
        <w:instrText> PAGEREF workforce \h </w:instrText>
      </w:r>
      <w:r>
        <w:fldChar w:fldCharType="separate"/>
      </w:r>
      <w:r>
        <w:t>6</w:t>
      </w:r>
      <w:r>
        <w:fldChar w:fldCharType="end"/>
      </w:r>
    </w:p>
    <w:p>
      <w:pPr>
        <w:widowControl/>
        <w:tabs>
          <w:tab w:pos="10080" w:val="right" w:leader="dot"/>
        </w:tabs>
        <w:spacing w:before="0" w:after="60" w:line="280" w:lineRule="exact"/>
        <w:ind w:left="0" w:firstLine="0" w:right="0"/>
        <w:jc w:val="left"/>
      </w:pPr>
      <w:hyperlink w:anchor="market">
        <w:r>
          <w:rPr>
            <w:rFonts w:ascii="Arial" w:hAnsi="Arial" w:eastAsia="Arial" w:cs="Arial"/>
            <w:color w:val="282829"/>
            <w:sz w:val="21"/>
            <w:szCs w:val="21"/>
          </w:rPr>
          <w:t xml:space="preserve">Competitive landscape and partnerships map</w:t>
        </w:r>
      </w:hyperlink>
      <w:r>
        <w:rPr>
          <w:rFonts w:ascii="Arial" w:hAnsi="Arial" w:eastAsia="Arial" w:cs="Arial"/>
          <w:color w:val="282829"/>
          <w:sz w:val="21"/>
          <w:szCs w:val="21"/>
        </w:rPr>
        <w:tab/>
      </w:r>
      <w:r>
        <w:fldChar w:fldCharType="begin"/>
      </w:r>
      <w:r>
        <w:instrText> PAGEREF market \h </w:instrText>
      </w:r>
      <w:r>
        <w:fldChar w:fldCharType="separate"/>
      </w:r>
      <w:r>
        <w:t>7</w:t>
      </w:r>
      <w:r>
        <w:fldChar w:fldCharType="end"/>
      </w:r>
    </w:p>
    <w:p>
      <w:pPr>
        <w:widowControl/>
        <w:tabs>
          <w:tab w:pos="10080" w:val="right" w:leader="dot"/>
        </w:tabs>
        <w:spacing w:before="0" w:after="60" w:line="280" w:lineRule="exact"/>
        <w:ind w:left="0" w:firstLine="0" w:right="0"/>
        <w:jc w:val="left"/>
      </w:pPr>
      <w:hyperlink w:anchor="directory">
        <w:r>
          <w:rPr>
            <w:rFonts w:ascii="Arial" w:hAnsi="Arial" w:eastAsia="Arial" w:cs="Arial"/>
            <w:color w:val="282829"/>
            <w:sz w:val="21"/>
            <w:szCs w:val="21"/>
          </w:rPr>
          <w:t xml:space="preserve">Institution directory</w:t>
        </w:r>
      </w:hyperlink>
      <w:r>
        <w:rPr>
          <w:rFonts w:ascii="Arial" w:hAnsi="Arial" w:eastAsia="Arial" w:cs="Arial"/>
          <w:color w:val="282829"/>
          <w:sz w:val="21"/>
          <w:szCs w:val="21"/>
        </w:rPr>
        <w:tab/>
      </w:r>
      <w:r>
        <w:fldChar w:fldCharType="begin"/>
      </w:r>
      <w:r>
        <w:instrText> PAGEREF directory \h </w:instrText>
      </w:r>
      <w:r>
        <w:fldChar w:fldCharType="separate"/>
      </w:r>
      <w:r>
        <w:t>8</w:t>
      </w:r>
      <w:r>
        <w:fldChar w:fldCharType="end"/>
      </w:r>
    </w:p>
    <w:p>
      <w:pPr>
        <w:widowControl/>
        <w:tabs>
          <w:tab w:pos="10080" w:val="right" w:leader="dot"/>
        </w:tabs>
        <w:spacing w:before="0" w:after="60" w:line="280" w:lineRule="exact"/>
        <w:ind w:left="0" w:firstLine="0" w:right="0"/>
        <w:jc w:val="left"/>
      </w:pPr>
      <w:hyperlink w:anchor="recent">
        <w:r>
          <w:rPr>
            <w:rFonts w:ascii="Arial" w:hAnsi="Arial" w:eastAsia="Arial" w:cs="Arial"/>
            <w:color w:val="282829"/>
            <w:sz w:val="21"/>
            <w:szCs w:val="21"/>
          </w:rPr>
          <w:t xml:space="preserve">Recent developments</w:t>
        </w:r>
      </w:hyperlink>
      <w:r>
        <w:rPr>
          <w:rFonts w:ascii="Arial" w:hAnsi="Arial" w:eastAsia="Arial" w:cs="Arial"/>
          <w:color w:val="282829"/>
          <w:sz w:val="21"/>
          <w:szCs w:val="21"/>
        </w:rPr>
        <w:tab/>
      </w:r>
      <w:r>
        <w:fldChar w:fldCharType="begin"/>
      </w:r>
      <w:r>
        <w:instrText> PAGEREF recent \h </w:instrText>
      </w:r>
      <w:r>
        <w:fldChar w:fldCharType="separate"/>
      </w:r>
      <w:r>
        <w:t>9</w:t>
      </w:r>
      <w:r>
        <w:fldChar w:fldCharType="end"/>
      </w:r>
    </w:p>
    <w:p>
      <w:pPr>
        <w:widowControl/>
        <w:tabs>
          <w:tab w:pos="10080" w:val="right" w:leader="dot"/>
        </w:tabs>
        <w:spacing w:before="0" w:after="60" w:line="280" w:lineRule="exact"/>
        <w:ind w:left="0" w:firstLine="0" w:right="0"/>
        <w:jc w:val="left"/>
      </w:pPr>
      <w:hyperlink w:anchor="assessment">
        <w:r>
          <w:rPr>
            <w:rFonts w:ascii="Arial" w:hAnsi="Arial" w:eastAsia="Arial" w:cs="Arial"/>
            <w:color w:val="282829"/>
            <w:sz w:val="21"/>
            <w:szCs w:val="21"/>
          </w:rPr>
          <w:t xml:space="preserve">CSI assessment</w:t>
        </w:r>
      </w:hyperlink>
      <w:r>
        <w:rPr>
          <w:rFonts w:ascii="Arial" w:hAnsi="Arial" w:eastAsia="Arial" w:cs="Arial"/>
          <w:color w:val="282829"/>
          <w:sz w:val="21"/>
          <w:szCs w:val="21"/>
        </w:rPr>
        <w:tab/>
      </w:r>
      <w:r>
        <w:fldChar w:fldCharType="begin"/>
      </w:r>
      <w:r>
        <w:instrText> PAGEREF assessment \h </w:instrText>
      </w:r>
      <w:r>
        <w:fldChar w:fldCharType="separate"/>
      </w:r>
      <w:r>
        <w:t>10</w:t>
      </w:r>
      <w:r>
        <w:fldChar w:fldCharType="end"/>
      </w:r>
    </w:p>
    <w:p>
      <w:pPr>
        <w:keepLines/>
        <w:widowControl/>
        <w:spacing w:before="0" w:after="160" w:line="228" w:lineRule="exact"/>
        <w:ind w:left="0" w:firstLine="0" w:right="0"/>
        <w:jc w:val="left"/>
      </w:pPr>
      <w:r>
        <w:rPr>
          <w:rFonts w:ascii="Arial" w:hAnsi="Arial" w:eastAsia="Arial" w:cs="Arial"/>
          <w:color w:val="616161"/>
          <w:sz w:val="18"/>
          <w:szCs w:val="18"/>
        </w:rPr>
        <w:t>Prepared 7 October 2026. Analyst review draft. Numbered citations refer to Indonesia_Profile_DRAFT_SOURCES.docx.</w:t>
      </w:r>
    </w:p>
    <w:p>
      <w:pPr>
        <w:spacing w:before="0" w:after="0" w:line="20" w:lineRule="exact"/>
      </w:pPr>
      <w:r>
        <w:rPr>
          <w:rFonts w:ascii="Arial" w:hAnsi="Arial" w:eastAsia="Arial" w:cs="Arial"/>
          <w:color w:val="282829"/>
          <w:sz w:val="2"/>
          <w:szCs w:val="2"/>
        </w:rPr>
        <w:br w:type="page"/>
      </w:r>
    </w:p>
    <w:p>
      <w:pPr>
        <w:pStyle w:val="Heading1"/>
        <w:keepNext/>
        <w:keepLines/>
        <w:widowControl/>
        <w:spacing w:before="0" w:after="260" w:line="500" w:lineRule="exact"/>
        <w:ind w:left="0" w:firstLine="0" w:right="0"/>
        <w:jc w:val="left"/>
      </w:pPr>
      <w:bookmarkStart w:id="987" w:name="overview"/>
      <w:r>
        <w:rPr>
          <w:rFonts w:ascii="Arial" w:hAnsi="Arial" w:eastAsia="Arial" w:cs="Arial"/>
          <w:color w:val="DC1E34"/>
          <w:sz w:val="42"/>
          <w:szCs w:val="42"/>
          <w:b w:val="1"/>
        </w:rPr>
        <w:t>Country overview and government</w:t>
      </w:r>
      <w:bookmarkEnd w:id="987"/>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Capital</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Jakarta</w:t>
            </w:r>
            <w:hyperlink r:id="rId12">
              <w:r>
                <w:rPr>
                  <w:rFonts w:ascii="Arial" w:hAnsi="Arial" w:eastAsia="Arial" w:cs="Arial"/>
                  <w:vertAlign w:val="superscript"/>
                  <w:color w:val="DC1E34"/>
                  <w:sz w:val="16"/>
                  <w:szCs w:val="16"/>
                </w:rPr>
                <w:t xml:space="preserve">1</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Official language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Indonesian</w:t>
            </w:r>
            <w:hyperlink r:id="rId12">
              <w:r>
                <w:rPr>
                  <w:rFonts w:ascii="Arial" w:hAnsi="Arial" w:eastAsia="Arial" w:cs="Arial"/>
                  <w:vertAlign w:val="superscript"/>
                  <w:color w:val="DC1E34"/>
                  <w:sz w:val="16"/>
                  <w:szCs w:val="16"/>
                </w:rPr>
                <w:t xml:space="preserve">1</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Population</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About 285.7 million (2025 estimate)</w:t>
            </w:r>
            <w:hyperlink r:id="rId13">
              <w:r>
                <w:rPr>
                  <w:rFonts w:ascii="Arial" w:hAnsi="Arial" w:eastAsia="Arial" w:cs="Arial"/>
                  <w:vertAlign w:val="superscript"/>
                  <w:color w:val="DC1E34"/>
                  <w:sz w:val="16"/>
                  <w:szCs w:val="16"/>
                </w:rPr>
                <w:t xml:space="preserve">2</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Area</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1,904,569 sq km</w:t>
            </w:r>
            <w:hyperlink r:id="rId12">
              <w:r>
                <w:rPr>
                  <w:rFonts w:ascii="Arial" w:hAnsi="Arial" w:eastAsia="Arial" w:cs="Arial"/>
                  <w:vertAlign w:val="superscript"/>
                  <w:color w:val="DC1E34"/>
                  <w:sz w:val="16"/>
                  <w:szCs w:val="16"/>
                </w:rPr>
                <w:t xml:space="preserve">1</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GDP (PPP), total</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About 5.05 trillion current international dollars (2025)</w:t>
            </w:r>
            <w:hyperlink r:id="rId14">
              <w:r>
                <w:rPr>
                  <w:rFonts w:ascii="Arial" w:hAnsi="Arial" w:eastAsia="Arial" w:cs="Arial"/>
                  <w:vertAlign w:val="superscript"/>
                  <w:color w:val="DC1E34"/>
                  <w:sz w:val="16"/>
                  <w:szCs w:val="16"/>
                </w:rPr>
                <w:t xml:space="preserve">3</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GDP (PPP), per capita</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About 17,660 current international dollars (2025)</w:t>
            </w:r>
            <w:hyperlink r:id="rId15">
              <w:r>
                <w:rPr>
                  <w:rFonts w:ascii="Arial" w:hAnsi="Arial" w:eastAsia="Arial" w:cs="Arial"/>
                  <w:vertAlign w:val="superscript"/>
                  <w:color w:val="DC1E34"/>
                  <w:sz w:val="16"/>
                  <w:szCs w:val="16"/>
                </w:rPr>
                <w:t xml:space="preserve">4</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Government type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Republic with a directly elected president</w:t>
            </w:r>
            <w:hyperlink r:id="rId12">
              <w:r>
                <w:rPr>
                  <w:rFonts w:ascii="Arial" w:hAnsi="Arial" w:eastAsia="Arial" w:cs="Arial"/>
                  <w:vertAlign w:val="superscript"/>
                  <w:color w:val="DC1E34"/>
                  <w:sz w:val="16"/>
                  <w:szCs w:val="16"/>
                </w:rPr>
                <w:t xml:space="preserve">1,</w:t>
              </w:r>
            </w:hyperlink>
            <w:hyperlink r:id="rId16">
              <w:r>
                <w:rPr>
                  <w:rFonts w:ascii="Arial" w:hAnsi="Arial" w:eastAsia="Arial" w:cs="Arial"/>
                  <w:vertAlign w:val="superscript"/>
                  <w:color w:val="DC1E34"/>
                  <w:sz w:val="16"/>
                  <w:szCs w:val="16"/>
                </w:rPr>
                <w:t xml:space="preserve">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Head of state and government</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President Prabowo Subianto (sworn in on 20 October 2024)</w:t>
            </w:r>
            <w:hyperlink r:id="rId12">
              <w:r>
                <w:rPr>
                  <w:rFonts w:ascii="Arial" w:hAnsi="Arial" w:eastAsia="Arial" w:cs="Arial"/>
                  <w:vertAlign w:val="superscript"/>
                  <w:color w:val="DC1E34"/>
                  <w:sz w:val="16"/>
                  <w:szCs w:val="16"/>
                </w:rPr>
                <w:t xml:space="preserve">1,</w:t>
              </w:r>
            </w:hyperlink>
            <w:hyperlink r:id="rId16">
              <w:r>
                <w:rPr>
                  <w:rFonts w:ascii="Arial" w:hAnsi="Arial" w:eastAsia="Arial" w:cs="Arial"/>
                  <w:vertAlign w:val="superscript"/>
                  <w:color w:val="DC1E34"/>
                  <w:sz w:val="16"/>
                  <w:szCs w:val="16"/>
                </w:rPr>
                <w:t xml:space="preserve">5</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Vice president</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Gibran Rakabuming Raka (sworn in on 20 October 2024)</w:t>
            </w:r>
            <w:hyperlink r:id="rId16">
              <w:r>
                <w:rPr>
                  <w:rFonts w:ascii="Arial" w:hAnsi="Arial" w:eastAsia="Arial" w:cs="Arial"/>
                  <w:vertAlign w:val="superscript"/>
                  <w:color w:val="DC1E34"/>
                  <w:sz w:val="16"/>
                  <w:szCs w:val="16"/>
                </w:rPr>
                <w:t xml:space="preserve">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Currency</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Rupiah (IDR)</w:t>
            </w:r>
            <w:hyperlink r:id="rId17">
              <w:r>
                <w:rPr>
                  <w:rFonts w:ascii="Arial" w:hAnsi="Arial" w:eastAsia="Arial" w:cs="Arial"/>
                  <w:vertAlign w:val="superscript"/>
                  <w:color w:val="DC1E34"/>
                  <w:sz w:val="16"/>
                  <w:szCs w:val="16"/>
                </w:rPr>
                <w:t xml:space="preserve">6,</w:t>
              </w:r>
            </w:hyperlink>
            <w:hyperlink r:id="rId18">
              <w:r>
                <w:rPr>
                  <w:rFonts w:ascii="Arial" w:hAnsi="Arial" w:eastAsia="Arial" w:cs="Arial"/>
                  <w:vertAlign w:val="superscript"/>
                  <w:color w:val="DC1E34"/>
                  <w:sz w:val="16"/>
                  <w:szCs w:val="16"/>
                </w:rPr>
                <w:t xml:space="preserve">7</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Urban population</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59.4% of total (2025)</w:t>
            </w:r>
            <w:hyperlink r:id="rId19">
              <w:r>
                <w:rPr>
                  <w:rFonts w:ascii="Arial" w:hAnsi="Arial" w:eastAsia="Arial" w:cs="Arial"/>
                  <w:vertAlign w:val="superscript"/>
                  <w:color w:val="DC1E34"/>
                  <w:sz w:val="16"/>
                  <w:szCs w:val="16"/>
                </w:rPr>
                <w:t xml:space="preserve">8</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Total fertility rate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2.12 births per woman (2024)</w:t>
            </w:r>
            <w:hyperlink r:id="rId20">
              <w:r>
                <w:rPr>
                  <w:rFonts w:ascii="Arial" w:hAnsi="Arial" w:eastAsia="Arial" w:cs="Arial"/>
                  <w:vertAlign w:val="superscript"/>
                  <w:color w:val="DC1E34"/>
                  <w:sz w:val="16"/>
                  <w:szCs w:val="16"/>
                </w:rPr>
                <w:t xml:space="preserve">9</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Population aged 65 and over</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7.5% (2025)</w:t>
            </w:r>
            <w:hyperlink r:id="rId21">
              <w:r>
                <w:rPr>
                  <w:rFonts w:ascii="Arial" w:hAnsi="Arial" w:eastAsia="Arial" w:cs="Arial"/>
                  <w:vertAlign w:val="superscript"/>
                  <w:color w:val="DC1E34"/>
                  <w:sz w:val="16"/>
                  <w:szCs w:val="16"/>
                </w:rPr>
                <w:t xml:space="preserve">10</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Life expectancy at birth</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71.3 years (2024)</w:t>
            </w:r>
            <w:hyperlink r:id="rId22">
              <w:r>
                <w:rPr>
                  <w:rFonts w:ascii="Arial" w:hAnsi="Arial" w:eastAsia="Arial" w:cs="Arial"/>
                  <w:vertAlign w:val="superscript"/>
                  <w:color w:val="DC1E34"/>
                  <w:sz w:val="16"/>
                  <w:szCs w:val="16"/>
                </w:rPr>
                <w:t xml:space="preserve">11</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82829"/>
          <w:sz w:val="22"/>
          <w:szCs w:val="22"/>
        </w:rPr>
        <w:t>Indonesia had about 285.7 million people in 2025, spread across more than 6,000 inhabited islands, and 59.4 percent of them lived in urban areas.</w:t>
      </w:r>
      <w:hyperlink r:id="rId13">
        <w:r>
          <w:rPr>
            <w:rFonts w:ascii="Arial" w:hAnsi="Arial" w:eastAsia="Arial" w:cs="Arial"/>
            <w:vertAlign w:val="superscript"/>
            <w:color w:val="DC1E34"/>
            <w:sz w:val="16"/>
            <w:szCs w:val="16"/>
          </w:rPr>
          <w:t xml:space="preserve">2,</w:t>
        </w:r>
      </w:hyperlink>
      <w:hyperlink r:id="rId19">
        <w:r>
          <w:rPr>
            <w:rFonts w:ascii="Arial" w:hAnsi="Arial" w:eastAsia="Arial" w:cs="Arial"/>
            <w:vertAlign w:val="superscript"/>
            <w:color w:val="DC1E34"/>
            <w:sz w:val="16"/>
            <w:szCs w:val="16"/>
          </w:rPr>
          <w:t xml:space="preserve">8,</w:t>
        </w:r>
      </w:hyperlink>
      <w:hyperlink r:id="rId23">
        <w:r>
          <w:rPr>
            <w:rFonts w:ascii="Arial" w:hAnsi="Arial" w:eastAsia="Arial" w:cs="Arial"/>
            <w:vertAlign w:val="superscript"/>
            <w:color w:val="DC1E34"/>
            <w:sz w:val="16"/>
            <w:szCs w:val="16"/>
          </w:rPr>
          <w:t xml:space="preserve">12</w:t>
        </w:r>
      </w:hyperlink>
      <w:r>
        <w:rPr>
          <w:rFonts w:ascii="Arial" w:hAnsi="Arial" w:eastAsia="Arial" w:cs="Arial"/>
          <w:color w:val="282829"/>
          <w:sz w:val="22"/>
          <w:szCs w:val="22"/>
        </w:rPr>
        <w:t xml:space="preserve"> The total fertility rate was 2.12 births per woman in 2024, and life expectancy at birth was 71.3 years.</w:t>
      </w:r>
      <w:hyperlink r:id="rId20">
        <w:r>
          <w:rPr>
            <w:rFonts w:ascii="Arial" w:hAnsi="Arial" w:eastAsia="Arial" w:cs="Arial"/>
            <w:vertAlign w:val="superscript"/>
            <w:color w:val="DC1E34"/>
            <w:sz w:val="16"/>
            <w:szCs w:val="16"/>
          </w:rPr>
          <w:t xml:space="preserve">9,</w:t>
        </w:r>
      </w:hyperlink>
      <w:hyperlink r:id="rId22">
        <w:r>
          <w:rPr>
            <w:rFonts w:ascii="Arial" w:hAnsi="Arial" w:eastAsia="Arial" w:cs="Arial"/>
            <w:vertAlign w:val="superscript"/>
            <w:color w:val="DC1E34"/>
            <w:sz w:val="16"/>
            <w:szCs w:val="16"/>
          </w:rPr>
          <w:t xml:space="preserve">11</w:t>
        </w:r>
      </w:hyperlink>
      <w:r>
        <w:rPr>
          <w:rFonts w:ascii="Arial" w:hAnsi="Arial" w:eastAsia="Arial" w:cs="Arial"/>
          <w:color w:val="282829"/>
          <w:sz w:val="22"/>
          <w:szCs w:val="22"/>
        </w:rPr>
        <w:t xml:space="preserve"> Children aged 0 to 14 made up 24.2 percent of the population in 2025, while people aged 65 and over made up 7.5 percent, up from 5.9 percent in 2010.</w:t>
      </w:r>
      <w:hyperlink r:id="rId21">
        <w:r>
          <w:rPr>
            <w:rFonts w:ascii="Arial" w:hAnsi="Arial" w:eastAsia="Arial" w:cs="Arial"/>
            <w:vertAlign w:val="superscript"/>
            <w:color w:val="DC1E34"/>
            <w:sz w:val="16"/>
            <w:szCs w:val="16"/>
          </w:rPr>
          <w:t xml:space="preserve">10,</w:t>
        </w:r>
      </w:hyperlink>
      <w:hyperlink r:id="rId24">
        <w:r>
          <w:rPr>
            <w:rFonts w:ascii="Arial" w:hAnsi="Arial" w:eastAsia="Arial" w:cs="Arial"/>
            <w:vertAlign w:val="superscript"/>
            <w:color w:val="DC1E34"/>
            <w:sz w:val="16"/>
            <w:szCs w:val="16"/>
          </w:rPr>
          <w:t xml:space="preserve">13</w:t>
        </w:r>
      </w:hyperlink>
    </w:p>
    <w:p>
      <w:pPr>
        <w:keepLines/>
        <w:widowControl/>
        <w:spacing w:before="0" w:after="140" w:line="288" w:lineRule="exact"/>
        <w:ind w:left="0" w:firstLine="0" w:right="0"/>
        <w:jc w:val="left"/>
      </w:pPr>
      <w:r>
        <w:rPr>
          <w:rFonts w:ascii="Arial" w:hAnsi="Arial" w:eastAsia="Arial" w:cs="Arial"/>
          <w:color w:val="282829"/>
          <w:sz w:val="22"/>
          <w:szCs w:val="22"/>
        </w:rPr>
        <w:t>The age profile is therefore still young but aging steadily. That points to growing demand for cardiovascular, cancer and stroke care over the next decade, alongside continuing maternal, child and infectious disease needs. For a foreign academic medical center, the large urban centers are the most natural starting points for high-acuity collaboration, while remote and island regions are more likely to suit training and capacity-building work.</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Government</w:t>
      </w:r>
    </w:p>
    <w:p>
      <w:pPr>
        <w:keepLines/>
        <w:widowControl/>
        <w:spacing w:before="0" w:after="140" w:line="288" w:lineRule="exact"/>
        <w:ind w:left="0" w:firstLine="0" w:right="0"/>
        <w:jc w:val="left"/>
      </w:pPr>
      <w:r>
        <w:rPr>
          <w:rFonts w:ascii="Arial" w:hAnsi="Arial" w:eastAsia="Arial" w:cs="Arial"/>
          <w:color w:val="282829"/>
          <w:sz w:val="22"/>
          <w:szCs w:val="22"/>
        </w:rPr>
        <w:t>Indonesia is a republic led by a directly elected president. Prabowo Subianto, a former military general, won more than 58 percent of the vote in the February 2024 election.</w:t>
      </w:r>
      <w:hyperlink r:id="rId12">
        <w:r>
          <w:rPr>
            <w:rFonts w:ascii="Arial" w:hAnsi="Arial" w:eastAsia="Arial" w:cs="Arial"/>
            <w:vertAlign w:val="superscript"/>
            <w:color w:val="DC1E34"/>
            <w:sz w:val="16"/>
            <w:szCs w:val="16"/>
          </w:rPr>
          <w:t xml:space="preserve">1</w:t>
        </w:r>
      </w:hyperlink>
      <w:r>
        <w:rPr>
          <w:rFonts w:ascii="Arial" w:hAnsi="Arial" w:eastAsia="Arial" w:cs="Arial"/>
          <w:color w:val="282829"/>
          <w:sz w:val="22"/>
          <w:szCs w:val="22"/>
        </w:rPr>
        <w:t xml:space="preserve"> He was sworn in on 20 October 2024, together with Vice President Gibran Rakabuming Raka, for the 2024 to 2029 term.</w:t>
      </w:r>
      <w:hyperlink r:id="rId16">
        <w:r>
          <w:rPr>
            <w:rFonts w:ascii="Arial" w:hAnsi="Arial" w:eastAsia="Arial" w:cs="Arial"/>
            <w:vertAlign w:val="superscript"/>
            <w:color w:val="DC1E34"/>
            <w:sz w:val="16"/>
            <w:szCs w:val="16"/>
          </w:rPr>
          <w:t xml:space="preserve">5</w:t>
        </w:r>
      </w:hyperlink>
      <w:r>
        <w:rPr>
          <w:rFonts w:ascii="Arial" w:hAnsi="Arial" w:eastAsia="Arial" w:cs="Arial"/>
          <w:color w:val="282829"/>
          <w:sz w:val="22"/>
          <w:szCs w:val="22"/>
        </w:rPr>
        <w:t xml:space="preserve"> Gibran is the eldest son of the previous president, Joko Widodo.</w:t>
      </w:r>
      <w:hyperlink r:id="rId25">
        <w:r>
          <w:rPr>
            <w:rFonts w:ascii="Arial" w:hAnsi="Arial" w:eastAsia="Arial" w:cs="Arial"/>
            <w:vertAlign w:val="superscript"/>
            <w:color w:val="DC1E34"/>
            <w:sz w:val="16"/>
            <w:szCs w:val="16"/>
          </w:rPr>
          <w:t xml:space="preserve">14</w:t>
        </w:r>
      </w:hyperlink>
      <w:r>
        <w:rPr>
          <w:rFonts w:ascii="Arial" w:hAnsi="Arial" w:eastAsia="Arial" w:cs="Arial"/>
          <w:color w:val="282829"/>
          <w:sz w:val="22"/>
          <w:szCs w:val="22"/>
        </w:rPr>
        <w:t xml:space="preserve"> In his inauguration speech, Prabowo vowed to eradicate corruption and poverty and affirmed Indonesia's policy of non-alignment.</w:t>
      </w:r>
      <w:hyperlink r:id="rId12">
        <w:r>
          <w:rPr>
            <w:rFonts w:ascii="Arial" w:hAnsi="Arial" w:eastAsia="Arial" w:cs="Arial"/>
            <w:vertAlign w:val="superscript"/>
            <w:color w:val="DC1E34"/>
            <w:sz w:val="16"/>
            <w:szCs w:val="16"/>
          </w:rPr>
          <w:t xml:space="preserve">1</w:t>
        </w:r>
      </w:hyperlink>
    </w:p>
    <w:p>
      <w:pPr>
        <w:keepLines/>
        <w:widowControl/>
        <w:spacing w:before="0" w:after="140" w:line="288" w:lineRule="exact"/>
        <w:ind w:left="0" w:firstLine="0" w:right="0"/>
        <w:jc w:val="left"/>
      </w:pPr>
      <w:r>
        <w:rPr>
          <w:rFonts w:ascii="Arial" w:hAnsi="Arial" w:eastAsia="Arial" w:cs="Arial"/>
          <w:color w:val="282829"/>
          <w:sz w:val="22"/>
          <w:szCs w:val="22"/>
        </w:rPr>
        <w:t>Health Minister Budi Gunadi Sadikin represented the government when parliament passed the omnibus Health Law in July 2023 and still led the ministry in August 2026.</w:t>
      </w:r>
      <w:hyperlink r:id="rId26">
        <w:r>
          <w:rPr>
            <w:rFonts w:ascii="Arial" w:hAnsi="Arial" w:eastAsia="Arial" w:cs="Arial"/>
            <w:vertAlign w:val="superscript"/>
            <w:color w:val="DC1E34"/>
            <w:sz w:val="16"/>
            <w:szCs w:val="16"/>
          </w:rPr>
          <w:t xml:space="preserve">15,</w:t>
        </w:r>
      </w:hyperlink>
      <w:hyperlink r:id="rId27">
        <w:r>
          <w:rPr>
            <w:rFonts w:ascii="Arial" w:hAnsi="Arial" w:eastAsia="Arial" w:cs="Arial"/>
            <w:vertAlign w:val="superscript"/>
            <w:color w:val="DC1E34"/>
            <w:sz w:val="16"/>
            <w:szCs w:val="16"/>
          </w:rPr>
          <w:t xml:space="preserve">16</w:t>
        </w:r>
      </w:hyperlink>
      <w:r>
        <w:rPr>
          <w:rFonts w:ascii="Arial" w:hAnsi="Arial" w:eastAsia="Arial" w:cs="Arial"/>
          <w:color w:val="282829"/>
          <w:sz w:val="22"/>
          <w:szCs w:val="22"/>
        </w:rPr>
        <w:t xml:space="preserve"> Danantara, a state-owned strategic entity, now leads operations of the Sanur health special economic zone, so counterparts for large hospital projects sit in the Health Ministry, state enterprises and Danantara as well as in private business groups.</w:t>
      </w:r>
      <w:hyperlink r:id="rId28">
        <w:r>
          <w:rPr>
            <w:rFonts w:ascii="Arial" w:hAnsi="Arial" w:eastAsia="Arial" w:cs="Arial"/>
            <w:vertAlign w:val="superscript"/>
            <w:color w:val="DC1E34"/>
            <w:sz w:val="16"/>
            <w:szCs w:val="16"/>
          </w:rPr>
          <w:t xml:space="preserve">17</w:t>
        </w:r>
      </w:hyperlink>
    </w:p>
    <w:p>
      <w:pPr>
        <w:pStyle w:val="Heading1"/>
        <w:keepNext/>
        <w:keepLines/>
        <w:widowControl/>
        <w:spacing w:before="0" w:after="260" w:line="500" w:lineRule="exact"/>
        <w:ind w:left="0" w:firstLine="0" w:right="0"/>
        <w:jc w:val="left"/>
      </w:pPr>
      <w:bookmarkStart w:id="862" w:name="economy"/>
      <w:r>
        <w:rPr>
          <w:rFonts w:ascii="Arial" w:hAnsi="Arial" w:eastAsia="Arial" w:cs="Arial"/>
          <w:color w:val="DC1E34"/>
          <w:sz w:val="42"/>
          <w:szCs w:val="42"/>
          <w:b w:val="1"/>
        </w:rPr>
        <w:t>Economy and healthcare outlook</w:t>
      </w:r>
      <w:bookmarkEnd w:id="862"/>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Economy</w:t>
      </w:r>
    </w:p>
    <w:p>
      <w:pPr>
        <w:keepLines/>
        <w:widowControl/>
        <w:spacing w:before="0" w:after="140" w:line="288" w:lineRule="exact"/>
        <w:ind w:left="0" w:firstLine="0" w:right="0"/>
        <w:jc w:val="left"/>
      </w:pPr>
      <w:r>
        <w:rPr>
          <w:rFonts w:ascii="Arial" w:hAnsi="Arial" w:eastAsia="Arial" w:cs="Arial"/>
          <w:color w:val="282829"/>
          <w:sz w:val="22"/>
          <w:szCs w:val="22"/>
        </w:rPr>
        <w:t>Indonesia's economy grew 5.11 percent in 2025, after 5.03 percent in 2024, and its GDP was about 5.05 trillion current international dollars at purchasing power parity.</w:t>
      </w:r>
      <w:hyperlink r:id="rId14">
        <w:r>
          <w:rPr>
            <w:rFonts w:ascii="Arial" w:hAnsi="Arial" w:eastAsia="Arial" w:cs="Arial"/>
            <w:vertAlign w:val="superscript"/>
            <w:color w:val="DC1E34"/>
            <w:sz w:val="16"/>
            <w:szCs w:val="16"/>
          </w:rPr>
          <w:t xml:space="preserve">3,</w:t>
        </w:r>
      </w:hyperlink>
      <w:hyperlink r:id="rId29">
        <w:r>
          <w:rPr>
            <w:rFonts w:ascii="Arial" w:hAnsi="Arial" w:eastAsia="Arial" w:cs="Arial"/>
            <w:vertAlign w:val="superscript"/>
            <w:color w:val="DC1E34"/>
            <w:sz w:val="16"/>
            <w:szCs w:val="16"/>
          </w:rPr>
          <w:t xml:space="preserve">18</w:t>
        </w:r>
      </w:hyperlink>
      <w:r>
        <w:rPr>
          <w:rFonts w:ascii="Arial" w:hAnsi="Arial" w:eastAsia="Arial" w:cs="Arial"/>
          <w:color w:val="282829"/>
          <w:sz w:val="22"/>
          <w:szCs w:val="22"/>
        </w:rPr>
        <w:t xml:space="preserve"> The IMF's 2025 Article IV consultation, concluded by its Executive Board on 14 January 2026, described the economy as resilient, expected growth of 5.1 percent in 2026, and reported unemployment of 4.9 percent in 2025 and a poverty rate of 9.0 percent in 2024. It listed base metals, coal and palm oil among the main exports in 2024.</w:t>
      </w:r>
      <w:hyperlink r:id="rId30">
        <w:r>
          <w:rPr>
            <w:rFonts w:ascii="Arial" w:hAnsi="Arial" w:eastAsia="Arial" w:cs="Arial"/>
            <w:vertAlign w:val="superscript"/>
            <w:color w:val="DC1E34"/>
            <w:sz w:val="16"/>
            <w:szCs w:val="16"/>
          </w:rPr>
          <w:t xml:space="preserve">19</w:t>
        </w:r>
      </w:hyperlink>
      <w:r>
        <w:rPr>
          <w:rFonts w:ascii="Arial" w:hAnsi="Arial" w:eastAsia="Arial" w:cs="Arial"/>
          <w:color w:val="282829"/>
          <w:sz w:val="22"/>
          <w:szCs w:val="22"/>
        </w:rPr>
        <w:t xml:space="preserve"> The World Bank’s June 2026 forecast projects growth of 5.0 percent in 2026 and 5.2 percent in 2027 and 2028. It stresses productivity reforms, stronger private investment and better jobs.</w:t>
      </w:r>
      <w:hyperlink r:id="rId31">
        <w:r>
          <w:rPr>
            <w:rFonts w:ascii="Arial" w:hAnsi="Arial" w:eastAsia="Arial" w:cs="Arial"/>
            <w:vertAlign w:val="superscript"/>
            <w:color w:val="DC1E34"/>
            <w:sz w:val="16"/>
            <w:szCs w:val="16"/>
          </w:rPr>
          <w:t xml:space="preserve">20</w:t>
        </w:r>
      </w:hyperlink>
      <w:r>
        <w:rPr>
          <w:rFonts w:ascii="Arial" w:hAnsi="Arial" w:eastAsia="Arial" w:cs="Arial"/>
          <w:color w:val="282829"/>
          <w:sz w:val="22"/>
          <w:szCs w:val="22"/>
        </w:rPr>
        <w:t xml:space="preserve"> Danantara is described as a state-owned strategic entity.</w:t>
      </w:r>
      <w:hyperlink r:id="rId28">
        <w:r>
          <w:rPr>
            <w:rFonts w:ascii="Arial" w:hAnsi="Arial" w:eastAsia="Arial" w:cs="Arial"/>
            <w:vertAlign w:val="superscript"/>
            <w:color w:val="DC1E34"/>
            <w:sz w:val="16"/>
            <w:szCs w:val="16"/>
          </w:rPr>
          <w:t xml:space="preserve">17</w:t>
        </w:r>
      </w:hyperlink>
    </w:p>
    <w:p>
      <w:pPr>
        <w:keepLines/>
        <w:widowControl/>
        <w:spacing w:before="0" w:after="140" w:line="288" w:lineRule="exact"/>
        <w:ind w:left="0" w:firstLine="0" w:right="0"/>
        <w:jc w:val="left"/>
      </w:pPr>
      <w:r>
        <w:rPr>
          <w:rFonts w:ascii="Arial" w:hAnsi="Arial" w:eastAsia="Arial" w:cs="Arial"/>
          <w:color w:val="282829"/>
          <w:sz w:val="22"/>
          <w:szCs w:val="22"/>
        </w:rPr>
        <w:t>The government aims to grow at eight percent a year by 2029 and to reach high-income status by 2045, under a 20-year plan for 2025 to 2045 delivered through five-year plans. The current plan focuses on human capital, digitalization and global competitiveness.</w:t>
      </w:r>
      <w:hyperlink r:id="rId32">
        <w:r>
          <w:rPr>
            <w:rFonts w:ascii="Arial" w:hAnsi="Arial" w:eastAsia="Arial" w:cs="Arial"/>
            <w:vertAlign w:val="superscript"/>
            <w:color w:val="DC1E34"/>
            <w:sz w:val="16"/>
            <w:szCs w:val="16"/>
          </w:rPr>
          <w:t xml:space="preserve">21</w:t>
        </w:r>
      </w:hyperlink>
      <w:r>
        <w:rPr>
          <w:rFonts w:ascii="Arial" w:hAnsi="Arial" w:eastAsia="Arial" w:cs="Arial"/>
          <w:color w:val="282829"/>
          <w:sz w:val="22"/>
          <w:szCs w:val="22"/>
        </w:rPr>
        <w:t xml:space="preserve"> The gap between the eight percent goal and forecasts near five percent is wide.</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Healthcare outlook</w:t>
      </w:r>
    </w:p>
    <w:p>
      <w:pPr>
        <w:keepLines/>
        <w:widowControl/>
        <w:spacing w:before="0" w:after="140" w:line="288" w:lineRule="exact"/>
        <w:ind w:left="0" w:firstLine="0" w:right="0"/>
        <w:jc w:val="left"/>
      </w:pPr>
      <w:r>
        <w:rPr>
          <w:rFonts w:ascii="Arial" w:hAnsi="Arial" w:eastAsia="Arial" w:cs="Arial"/>
          <w:color w:val="282829"/>
          <w:sz w:val="22"/>
          <w:szCs w:val="22"/>
        </w:rPr>
        <w:t>Policy direction is clear: prevention, more specialists, and stronger primary and referral care. The 2026 draft budget priorities include free health checks, faster tuberculosis control, more and better primary care facilities, revitalized regional hospitals, scholarships for medical education and stunting reduction.</w:t>
      </w:r>
      <w:hyperlink r:id="rId33">
        <w:r>
          <w:rPr>
            <w:rFonts w:ascii="Arial" w:hAnsi="Arial" w:eastAsia="Arial" w:cs="Arial"/>
            <w:vertAlign w:val="superscript"/>
            <w:color w:val="DC1E34"/>
            <w:sz w:val="16"/>
            <w:szCs w:val="16"/>
          </w:rPr>
          <w:t xml:space="preserve">44</w:t>
        </w:r>
      </w:hyperlink>
      <w:r>
        <w:rPr>
          <w:rFonts w:ascii="Arial" w:hAnsi="Arial" w:eastAsia="Arial" w:cs="Arial"/>
          <w:color w:val="282829"/>
          <w:sz w:val="22"/>
          <w:szCs w:val="22"/>
        </w:rPr>
        <w:t xml:space="preserve"> World Bank financing is deploying 419 catheterization laboratories and is expected to upgrade 560 hospitals by 2029, and the Bank aims to raise Indonesia's universal health coverage service coverage index from 55 in 2025 to 62 by 2030.</w:t>
      </w:r>
      <w:hyperlink r:id="rId23">
        <w:r>
          <w:rPr>
            <w:rFonts w:ascii="Arial" w:hAnsi="Arial" w:eastAsia="Arial" w:cs="Arial"/>
            <w:vertAlign w:val="superscript"/>
            <w:color w:val="DC1E34"/>
            <w:sz w:val="16"/>
            <w:szCs w:val="16"/>
          </w:rPr>
          <w:t xml:space="preserve">12</w:t>
        </w:r>
      </w:hyperlink>
      <w:r>
        <w:rPr>
          <w:rFonts w:ascii="Arial" w:hAnsi="Arial" w:eastAsia="Arial" w:cs="Arial"/>
          <w:color w:val="282829"/>
          <w:sz w:val="22"/>
          <w:szCs w:val="22"/>
        </w:rPr>
        <w:t xml:space="preserve"> The 2027 draft budget is nearly flat at Rp 244.9 trillion, up 1.7 percent, while the president plans to renovate 10,000 puskesmas and build 514 public health laboratories by 2030.</w:t>
      </w:r>
      <w:hyperlink r:id="rId34">
        <w:r>
          <w:rPr>
            <w:rFonts w:ascii="Arial" w:hAnsi="Arial" w:eastAsia="Arial" w:cs="Arial"/>
            <w:vertAlign w:val="superscript"/>
            <w:color w:val="DC1E34"/>
            <w:sz w:val="16"/>
            <w:szCs w:val="16"/>
          </w:rPr>
          <w:t xml:space="preserve">35</w:t>
        </w:r>
      </w:hyperlink>
    </w:p>
    <w:p>
      <w:pPr>
        <w:keepLines/>
        <w:widowControl/>
        <w:spacing w:before="0" w:after="140" w:line="288" w:lineRule="exact"/>
        <w:ind w:left="0" w:firstLine="0" w:right="0"/>
        <w:jc w:val="left"/>
      </w:pPr>
      <w:r>
        <w:rPr>
          <w:rFonts w:ascii="Arial" w:hAnsi="Arial" w:eastAsia="Arial" w:cs="Arial"/>
          <w:color w:val="282829"/>
          <w:sz w:val="22"/>
          <w:szCs w:val="22"/>
        </w:rPr>
        <w:t>Two constraints stand out. JKN is running deficits that BPJS Kesehatan says could lead to missed claim payments from July 2027 without government action,</w:t>
      </w:r>
      <w:hyperlink r:id="rId35">
        <w:r>
          <w:rPr>
            <w:rFonts w:ascii="Arial" w:hAnsi="Arial" w:eastAsia="Arial" w:cs="Arial"/>
            <w:vertAlign w:val="superscript"/>
            <w:color w:val="DC1E34"/>
            <w:sz w:val="16"/>
            <w:szCs w:val="16"/>
          </w:rPr>
          <w:t xml:space="preserve">31,</w:t>
        </w:r>
      </w:hyperlink>
      <w:hyperlink r:id="rId36">
        <w:r>
          <w:rPr>
            <w:rFonts w:ascii="Arial" w:hAnsi="Arial" w:eastAsia="Arial" w:cs="Arial"/>
            <w:vertAlign w:val="superscript"/>
            <w:color w:val="DC1E34"/>
            <w:sz w:val="16"/>
            <w:szCs w:val="16"/>
          </w:rPr>
          <w:t xml:space="preserve">45</w:t>
        </w:r>
      </w:hyperlink>
      <w:r>
        <w:rPr>
          <w:rFonts w:ascii="Arial" w:hAnsi="Arial" w:eastAsia="Arial" w:cs="Arial"/>
          <w:color w:val="282829"/>
          <w:sz w:val="22"/>
          <w:szCs w:val="22"/>
        </w:rPr>
        <w:t xml:space="preserve"> and the specialist shortage will take years to close.</w:t>
      </w:r>
      <w:hyperlink r:id="rId37">
        <w:r>
          <w:rPr>
            <w:rFonts w:ascii="Arial" w:hAnsi="Arial" w:eastAsia="Arial" w:cs="Arial"/>
            <w:vertAlign w:val="superscript"/>
            <w:color w:val="DC1E34"/>
            <w:sz w:val="16"/>
            <w:szCs w:val="16"/>
          </w:rPr>
          <w:t xml:space="preserve">49</w:t>
        </w:r>
      </w:hyperlink>
      <w:r>
        <w:rPr>
          <w:rFonts w:ascii="Arial" w:hAnsi="Arial" w:eastAsia="Arial" w:cs="Arial"/>
          <w:color w:val="282829"/>
          <w:sz w:val="22"/>
          <w:szCs w:val="22"/>
        </w:rPr>
        <w:t xml:space="preserve"> Demand for advanced services will therefore be shaped by what the insurer can pay, by how quickly specialists are trained, and by how fast foreign doctors can be licensed. For potential partners, the clearest opportunities lie in training linked to a defined service, measurable improvements in clinical quality, and implementation support for existing institutions. Each requires a local counterpart with both operating capacity and a credible financing plan.</w:t>
      </w:r>
    </w:p>
    <w:p>
      <w:pPr>
        <w:pStyle w:val="Heading1"/>
        <w:keepNext/>
        <w:keepLines/>
        <w:widowControl/>
        <w:spacing w:before="0" w:after="260" w:line="500" w:lineRule="exact"/>
        <w:ind w:left="0" w:firstLine="0" w:right="0"/>
        <w:jc w:val="left"/>
      </w:pPr>
      <w:bookmarkStart w:id="834" w:name="disease"/>
      <w:r>
        <w:rPr>
          <w:rFonts w:ascii="Arial" w:hAnsi="Arial" w:eastAsia="Arial" w:cs="Arial"/>
          <w:color w:val="DC1E34"/>
          <w:sz w:val="42"/>
          <w:szCs w:val="42"/>
          <w:b w:val="1"/>
        </w:rPr>
        <w:t>Disease prevalence</w:t>
      </w:r>
      <w:bookmarkEnd w:id="834"/>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Share of deaths from noncommunicable diseases</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About two-thirds</w:t>
            </w:r>
            <w:hyperlink r:id="rId23">
              <w:r>
                <w:rPr>
                  <w:rFonts w:ascii="Arial" w:hAnsi="Arial" w:eastAsia="Arial" w:cs="Arial"/>
                  <w:vertAlign w:val="superscript"/>
                  <w:color w:val="DC1E34"/>
                  <w:sz w:val="16"/>
                  <w:szCs w:val="16"/>
                </w:rPr>
                <w:t xml:space="preserve">12</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Probability of dying aged 30 to 70 from cardiovascular disease, cancer, diabetes or chronic respiratory disease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21.9% (2021)</w:t>
            </w:r>
            <w:hyperlink r:id="rId38">
              <w:r>
                <w:rPr>
                  <w:rFonts w:ascii="Arial" w:hAnsi="Arial" w:eastAsia="Arial" w:cs="Arial"/>
                  <w:vertAlign w:val="superscript"/>
                  <w:color w:val="DC1E34"/>
                  <w:sz w:val="16"/>
                  <w:szCs w:val="16"/>
                </w:rPr>
                <w:t xml:space="preserve">22</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Stroke, share of deaths</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19.42% (Ministry of Health)</w:t>
            </w:r>
            <w:hyperlink r:id="rId39">
              <w:r>
                <w:rPr>
                  <w:rFonts w:ascii="Arial" w:hAnsi="Arial" w:eastAsia="Arial" w:cs="Arial"/>
                  <w:vertAlign w:val="superscript"/>
                  <w:color w:val="DC1E34"/>
                  <w:sz w:val="16"/>
                  <w:szCs w:val="16"/>
                </w:rPr>
                <w:t xml:space="preserve">23</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Ischemic heart disease, share of deaths</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14.38% (Ministry of Health)</w:t>
            </w:r>
            <w:hyperlink r:id="rId39">
              <w:r>
                <w:rPr>
                  <w:rFonts w:ascii="Arial" w:hAnsi="Arial" w:eastAsia="Arial" w:cs="Arial"/>
                  <w:vertAlign w:val="superscript"/>
                  <w:color w:val="DC1E34"/>
                  <w:sz w:val="16"/>
                  <w:szCs w:val="16"/>
                </w:rPr>
                <w:t xml:space="preserve">23</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Hypertension, adults aged 18 and over (measured)</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30.8% (Indonesian Health Survey 2023); 34.1% in 2018</w:t>
            </w:r>
            <w:hyperlink r:id="rId40">
              <w:r>
                <w:rPr>
                  <w:rFonts w:ascii="Arial" w:hAnsi="Arial" w:eastAsia="Arial" w:cs="Arial"/>
                  <w:vertAlign w:val="superscript"/>
                  <w:color w:val="DC1E34"/>
                  <w:sz w:val="16"/>
                  <w:szCs w:val="16"/>
                </w:rPr>
                <w:t xml:space="preserve">24</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Diabetes, people aged 15 and over (blood glucose measured)</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11.7% (Indonesian Health Survey 2023); 10.9% in 2018</w:t>
            </w:r>
            <w:hyperlink r:id="rId40">
              <w:r>
                <w:rPr>
                  <w:rFonts w:ascii="Arial" w:hAnsi="Arial" w:eastAsia="Arial" w:cs="Arial"/>
                  <w:vertAlign w:val="superscript"/>
                  <w:color w:val="DC1E34"/>
                  <w:sz w:val="16"/>
                  <w:szCs w:val="16"/>
                </w:rPr>
                <w:t xml:space="preserve">24</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Tuberculosis incidence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382 per 100,000 people (2024); 388 in 2023</w:t>
            </w:r>
            <w:hyperlink r:id="rId41">
              <w:r>
                <w:rPr>
                  <w:rFonts w:ascii="Arial" w:hAnsi="Arial" w:eastAsia="Arial" w:cs="Arial"/>
                  <w:vertAlign w:val="superscript"/>
                  <w:color w:val="DC1E34"/>
                  <w:sz w:val="16"/>
                  <w:szCs w:val="16"/>
                </w:rPr>
                <w:t xml:space="preserve">25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Stunting, children under five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22% (2023, World Bank series)</w:t>
            </w:r>
            <w:hyperlink r:id="rId42">
              <w:r>
                <w:rPr>
                  <w:rFonts w:ascii="Arial" w:hAnsi="Arial" w:eastAsia="Arial" w:cs="Arial"/>
                  <w:vertAlign w:val="superscript"/>
                  <w:color w:val="DC1E34"/>
                  <w:sz w:val="16"/>
                  <w:szCs w:val="16"/>
                </w:rPr>
                <w:t xml:space="preserve">26</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Under-five mortality</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17.7 per 1,000 live births (2024)</w:t>
            </w:r>
            <w:hyperlink r:id="rId43">
              <w:r>
                <w:rPr>
                  <w:rFonts w:ascii="Arial" w:hAnsi="Arial" w:eastAsia="Arial" w:cs="Arial"/>
                  <w:vertAlign w:val="superscript"/>
                  <w:color w:val="DC1E34"/>
                  <w:sz w:val="16"/>
                  <w:szCs w:val="16"/>
                </w:rPr>
                <w:t xml:space="preserve">27</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82829"/>
          <w:sz w:val="22"/>
          <w:szCs w:val="22"/>
        </w:rPr>
        <w:t>Noncommunicable diseases such as diabetes, heart disease and cancer cause about two-thirds of deaths in Indonesia.</w:t>
      </w:r>
      <w:hyperlink r:id="rId23">
        <w:r>
          <w:rPr>
            <w:rFonts w:ascii="Arial" w:hAnsi="Arial" w:eastAsia="Arial" w:cs="Arial"/>
            <w:vertAlign w:val="superscript"/>
            <w:color w:val="DC1E34"/>
            <w:sz w:val="16"/>
            <w:szCs w:val="16"/>
          </w:rPr>
          <w:t xml:space="preserve">12</w:t>
        </w:r>
      </w:hyperlink>
      <w:r>
        <w:rPr>
          <w:rFonts w:ascii="Arial" w:hAnsi="Arial" w:eastAsia="Arial" w:cs="Arial"/>
          <w:color w:val="282829"/>
          <w:sz w:val="22"/>
          <w:szCs w:val="22"/>
        </w:rPr>
        <w:t xml:space="preserve"> The Health Ministry has reported that stroke accounts for 19.42 percent of deaths and ischemic heart disease for 14.38 percent.</w:t>
      </w:r>
      <w:hyperlink r:id="rId39">
        <w:r>
          <w:rPr>
            <w:rFonts w:ascii="Arial" w:hAnsi="Arial" w:eastAsia="Arial" w:cs="Arial"/>
            <w:vertAlign w:val="superscript"/>
            <w:color w:val="DC1E34"/>
            <w:sz w:val="16"/>
            <w:szCs w:val="16"/>
          </w:rPr>
          <w:t xml:space="preserve">23</w:t>
        </w:r>
      </w:hyperlink>
      <w:r>
        <w:rPr>
          <w:rFonts w:ascii="Arial" w:hAnsi="Arial" w:eastAsia="Arial" w:cs="Arial"/>
          <w:color w:val="282829"/>
          <w:sz w:val="22"/>
          <w:szCs w:val="22"/>
        </w:rPr>
        <w:t xml:space="preserve"> In May 2025 the health minister named stroke, heart disease, cancer and kidney disease as the four biggest killers, with about 300,000 stroke deaths a year.</w:t>
      </w:r>
      <w:hyperlink r:id="rId44">
        <w:r>
          <w:rPr>
            <w:rFonts w:ascii="Arial" w:hAnsi="Arial" w:eastAsia="Arial" w:cs="Arial"/>
            <w:vertAlign w:val="superscript"/>
            <w:color w:val="DC1E34"/>
            <w:sz w:val="16"/>
            <w:szCs w:val="16"/>
          </w:rPr>
          <w:t xml:space="preserve">28</w:t>
        </w:r>
      </w:hyperlink>
      <w:r>
        <w:rPr>
          <w:rFonts w:ascii="Arial" w:hAnsi="Arial" w:eastAsia="Arial" w:cs="Arial"/>
          <w:color w:val="282829"/>
          <w:sz w:val="22"/>
          <w:szCs w:val="22"/>
        </w:rPr>
        <w:t xml:space="preserve"> The 2023 Indonesian Health Survey measured hypertension in 30.8 percent of adults aged 18 and over, down from 34.1 percent in 2018, and diabetes in 11.7 percent of people aged 15 and over, up from 10.9 percent.</w:t>
      </w:r>
      <w:hyperlink r:id="rId40">
        <w:r>
          <w:rPr>
            <w:rFonts w:ascii="Arial" w:hAnsi="Arial" w:eastAsia="Arial" w:cs="Arial"/>
            <w:vertAlign w:val="superscript"/>
            <w:color w:val="DC1E34"/>
            <w:sz w:val="16"/>
            <w:szCs w:val="16"/>
          </w:rPr>
          <w:t xml:space="preserve">24</w:t>
        </w:r>
      </w:hyperlink>
    </w:p>
    <w:p>
      <w:pPr>
        <w:keepLines/>
        <w:widowControl/>
        <w:spacing w:before="0" w:after="140" w:line="288" w:lineRule="exact"/>
        <w:ind w:left="0" w:firstLine="0" w:right="0"/>
        <w:jc w:val="left"/>
      </w:pPr>
      <w:r>
        <w:rPr>
          <w:rFonts w:ascii="Arial" w:hAnsi="Arial" w:eastAsia="Arial" w:cs="Arial"/>
          <w:color w:val="282829"/>
          <w:sz w:val="22"/>
          <w:szCs w:val="22"/>
        </w:rPr>
        <w:t>Infectious disease remains a second burden. Indonesia has the second-largest number of tuberculosis cases in the world, about 10 percent of the global total, and its incidence was 382 per 100,000 people in 2024.</w:t>
      </w:r>
      <w:hyperlink r:id="rId41">
        <w:r>
          <w:rPr>
            <w:rFonts w:ascii="Arial" w:hAnsi="Arial" w:eastAsia="Arial" w:cs="Arial"/>
            <w:vertAlign w:val="superscript"/>
            <w:color w:val="DC1E34"/>
            <w:sz w:val="16"/>
            <w:szCs w:val="16"/>
          </w:rPr>
          <w:t xml:space="preserve">25,</w:t>
        </w:r>
      </w:hyperlink>
      <w:hyperlink r:id="rId45">
        <w:r>
          <w:rPr>
            <w:rFonts w:ascii="Arial" w:hAnsi="Arial" w:eastAsia="Arial" w:cs="Arial"/>
            <w:vertAlign w:val="superscript"/>
            <w:color w:val="DC1E34"/>
            <w:sz w:val="16"/>
            <w:szCs w:val="16"/>
          </w:rPr>
          <w:t xml:space="preserve">29</w:t>
        </w:r>
      </w:hyperlink>
      <w:r>
        <w:rPr>
          <w:rFonts w:ascii="Arial" w:hAnsi="Arial" w:eastAsia="Arial" w:cs="Arial"/>
          <w:color w:val="282829"/>
          <w:sz w:val="22"/>
          <w:szCs w:val="22"/>
        </w:rPr>
        <w:t xml:space="preserve"> Stunting affected 22 percent of children under five in 2023, and under-five mortality was 17.7 per 1,000 live births in 2024.</w:t>
      </w:r>
      <w:hyperlink r:id="rId42">
        <w:r>
          <w:rPr>
            <w:rFonts w:ascii="Arial" w:hAnsi="Arial" w:eastAsia="Arial" w:cs="Arial"/>
            <w:vertAlign w:val="superscript"/>
            <w:color w:val="DC1E34"/>
            <w:sz w:val="16"/>
            <w:szCs w:val="16"/>
          </w:rPr>
          <w:t xml:space="preserve">26,</w:t>
        </w:r>
      </w:hyperlink>
      <w:hyperlink r:id="rId43">
        <w:r>
          <w:rPr>
            <w:rFonts w:ascii="Arial" w:hAnsi="Arial" w:eastAsia="Arial" w:cs="Arial"/>
            <w:vertAlign w:val="superscript"/>
            <w:color w:val="DC1E34"/>
            <w:sz w:val="16"/>
            <w:szCs w:val="16"/>
          </w:rPr>
          <w:t xml:space="preserve">27</w:t>
        </w:r>
      </w:hyperlink>
      <w:r>
        <w:rPr>
          <w:rFonts w:ascii="Arial" w:hAnsi="Arial" w:eastAsia="Arial" w:cs="Arial"/>
          <w:color w:val="282829"/>
          <w:sz w:val="22"/>
          <w:szCs w:val="22"/>
        </w:rPr>
        <w:t xml:space="preserve"> The mix of high chronic disease prevalence and unfinished infectious disease and nutrition work shapes demand for both advanced and basic services.</w:t>
      </w:r>
    </w:p>
    <w:p>
      <w:pPr>
        <w:pStyle w:val="Heading1"/>
        <w:keepNext/>
        <w:keepLines/>
        <w:widowControl/>
        <w:spacing w:before="0" w:after="260" w:line="500" w:lineRule="exact"/>
        <w:ind w:left="0" w:firstLine="0" w:right="0"/>
        <w:jc w:val="left"/>
      </w:pPr>
      <w:bookmarkStart w:id="968" w:name="delivery"/>
      <w:r>
        <w:rPr>
          <w:rFonts w:ascii="Arial" w:hAnsi="Arial" w:eastAsia="Arial" w:cs="Arial"/>
          <w:color w:val="DC1E34"/>
          <w:sz w:val="42"/>
          <w:szCs w:val="42"/>
          <w:b w:val="1"/>
        </w:rPr>
        <w:t>Healthcare delivery</w:t>
      </w:r>
      <w:bookmarkEnd w:id="968"/>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Public healthcare system</w:t>
      </w:r>
    </w:p>
    <w:p>
      <w:pPr>
        <w:keepLines/>
        <w:widowControl/>
        <w:spacing w:before="0" w:after="140" w:line="288" w:lineRule="exact"/>
        <w:ind w:left="0" w:firstLine="0" w:right="0"/>
        <w:jc w:val="left"/>
      </w:pPr>
      <w:r>
        <w:rPr>
          <w:rFonts w:ascii="Arial" w:hAnsi="Arial" w:eastAsia="Arial" w:cs="Arial"/>
          <w:color w:val="282829"/>
          <w:sz w:val="22"/>
          <w:szCs w:val="22"/>
        </w:rPr>
        <w:t>Indonesia's public system rests on national health insurance (JKN), run by the state-owned insurer BPJS Kesehatan, which covered 282.7 million people, more than 98 percent of the population, at the end of 2025, although only 81.45 percent of members were active.</w:t>
      </w:r>
      <w:hyperlink r:id="rId46">
        <w:r>
          <w:rPr>
            <w:rFonts w:ascii="Arial" w:hAnsi="Arial" w:eastAsia="Arial" w:cs="Arial"/>
            <w:vertAlign w:val="superscript"/>
            <w:color w:val="DC1E34"/>
            <w:sz w:val="16"/>
            <w:szCs w:val="16"/>
          </w:rPr>
          <w:t xml:space="preserve">30,</w:t>
        </w:r>
      </w:hyperlink>
      <w:hyperlink r:id="rId35">
        <w:r>
          <w:rPr>
            <w:rFonts w:ascii="Arial" w:hAnsi="Arial" w:eastAsia="Arial" w:cs="Arial"/>
            <w:vertAlign w:val="superscript"/>
            <w:color w:val="DC1E34"/>
            <w:sz w:val="16"/>
            <w:szCs w:val="16"/>
          </w:rPr>
          <w:t xml:space="preserve">31</w:t>
        </w:r>
      </w:hyperlink>
      <w:r>
        <w:rPr>
          <w:rFonts w:ascii="Arial" w:hAnsi="Arial" w:eastAsia="Arial" w:cs="Arial"/>
          <w:color w:val="282829"/>
          <w:sz w:val="22"/>
          <w:szCs w:val="22"/>
        </w:rPr>
        <w:t xml:space="preserve"> The World Bank reports that health service visits under the scheme grew from 378 million in 2020 to 686 million in 2024, and that out-of-pocket spending fell from 45 to 31 percent of total health spending.</w:t>
      </w:r>
      <w:hyperlink r:id="rId23">
        <w:r>
          <w:rPr>
            <w:rFonts w:ascii="Arial" w:hAnsi="Arial" w:eastAsia="Arial" w:cs="Arial"/>
            <w:vertAlign w:val="superscript"/>
            <w:color w:val="DC1E34"/>
            <w:sz w:val="16"/>
            <w:szCs w:val="16"/>
          </w:rPr>
          <w:t xml:space="preserve">12</w:t>
        </w:r>
      </w:hyperlink>
    </w:p>
    <w:p>
      <w:pPr>
        <w:keepLines/>
        <w:widowControl/>
        <w:spacing w:before="0" w:after="140" w:line="288" w:lineRule="exact"/>
        <w:ind w:left="0" w:firstLine="0" w:right="0"/>
        <w:jc w:val="left"/>
      </w:pPr>
      <w:r>
        <w:rPr>
          <w:rFonts w:ascii="Arial" w:hAnsi="Arial" w:eastAsia="Arial" w:cs="Arial"/>
          <w:color w:val="282829"/>
          <w:sz w:val="22"/>
          <w:szCs w:val="22"/>
        </w:rPr>
        <w:t>Care is delivered through community health centers (puskesmas), with more than 10,000 participating in free health checks in 2026,</w:t>
      </w:r>
      <w:hyperlink r:id="rId27">
        <w:r>
          <w:rPr>
            <w:rFonts w:ascii="Arial" w:hAnsi="Arial" w:eastAsia="Arial" w:cs="Arial"/>
            <w:vertAlign w:val="superscript"/>
            <w:color w:val="DC1E34"/>
            <w:sz w:val="16"/>
            <w:szCs w:val="16"/>
          </w:rPr>
          <w:t xml:space="preserve">16</w:t>
        </w:r>
      </w:hyperlink>
      <w:r>
        <w:rPr>
          <w:rFonts w:ascii="Arial" w:hAnsi="Arial" w:eastAsia="Arial" w:cs="Arial"/>
          <w:color w:val="282829"/>
          <w:sz w:val="22"/>
          <w:szCs w:val="22"/>
        </w:rPr>
        <w:t xml:space="preserve"> and through hospitals run by the central government, local governments and private operators.</w:t>
      </w:r>
      <w:hyperlink r:id="rId47">
        <w:r>
          <w:rPr>
            <w:rFonts w:ascii="Arial" w:hAnsi="Arial" w:eastAsia="Arial" w:cs="Arial"/>
            <w:vertAlign w:val="superscript"/>
            <w:color w:val="DC1E34"/>
            <w:sz w:val="16"/>
            <w:szCs w:val="16"/>
          </w:rPr>
          <w:t xml:space="preserve">32</w:t>
        </w:r>
      </w:hyperlink>
      <w:r>
        <w:rPr>
          <w:rFonts w:ascii="Arial" w:hAnsi="Arial" w:eastAsia="Arial" w:cs="Arial"/>
          <w:color w:val="282829"/>
          <w:sz w:val="22"/>
          <w:szCs w:val="22"/>
        </w:rPr>
        <w:t xml:space="preserve"> The Health Ministry has activated 300,000 community health posts (posyandu) and in 2023 began building vertical hospitals for cancer, heart, stroke and kidney care in Surabaya, Makassar, the new national capital in East Kalimantan and Jayapura.</w:t>
      </w:r>
      <w:hyperlink r:id="rId48">
        <w:r>
          <w:rPr>
            <w:rFonts w:ascii="Arial" w:hAnsi="Arial" w:eastAsia="Arial" w:cs="Arial"/>
            <w:vertAlign w:val="superscript"/>
            <w:color w:val="DC1E34"/>
            <w:sz w:val="16"/>
            <w:szCs w:val="16"/>
          </w:rPr>
          <w:t xml:space="preserve">33</w:t>
        </w:r>
      </w:hyperlink>
    </w:p>
    <w:p>
      <w:pPr>
        <w:keepLines/>
        <w:widowControl/>
        <w:spacing w:before="0" w:after="140" w:line="288" w:lineRule="exact"/>
        <w:ind w:left="0" w:firstLine="0" w:right="0"/>
        <w:jc w:val="left"/>
      </w:pPr>
      <w:r>
        <w:rPr>
          <w:rFonts w:ascii="Arial" w:hAnsi="Arial" w:eastAsia="Arial" w:cs="Arial"/>
          <w:color w:val="282829"/>
          <w:sz w:val="22"/>
          <w:szCs w:val="22"/>
        </w:rPr>
        <w:t>The free health check program began on 10 February 2025 at about 10,200 puskesmas.</w:t>
      </w:r>
      <w:hyperlink r:id="rId49">
        <w:r>
          <w:rPr>
            <w:rFonts w:ascii="Arial" w:hAnsi="Arial" w:eastAsia="Arial" w:cs="Arial"/>
            <w:vertAlign w:val="superscript"/>
            <w:color w:val="DC1E34"/>
            <w:sz w:val="16"/>
            <w:szCs w:val="16"/>
          </w:rPr>
          <w:t xml:space="preserve">34</w:t>
        </w:r>
      </w:hyperlink>
      <w:r>
        <w:rPr>
          <w:rFonts w:ascii="Arial" w:hAnsi="Arial" w:eastAsia="Arial" w:cs="Arial"/>
          <w:color w:val="282829"/>
          <w:sz w:val="22"/>
          <w:szCs w:val="22"/>
        </w:rPr>
        <w:t xml:space="preserve"> It screened about 70 million people in 2025 and another 73.8 million in 2026 through 31 July, against a 2026 target of 130 million.</w:t>
      </w:r>
      <w:hyperlink r:id="rId27">
        <w:r>
          <w:rPr>
            <w:rFonts w:ascii="Arial" w:hAnsi="Arial" w:eastAsia="Arial" w:cs="Arial"/>
            <w:vertAlign w:val="superscript"/>
            <w:color w:val="DC1E34"/>
            <w:sz w:val="16"/>
            <w:szCs w:val="16"/>
          </w:rPr>
          <w:t xml:space="preserve">16</w:t>
        </w:r>
      </w:hyperlink>
      <w:r>
        <w:rPr>
          <w:rFonts w:ascii="Arial" w:hAnsi="Arial" w:eastAsia="Arial" w:cs="Arial"/>
          <w:color w:val="282829"/>
          <w:sz w:val="22"/>
          <w:szCs w:val="22"/>
        </w:rPr>
        <w:t xml:space="preserve"> From 2027 the president plans to renovate 10,000 puskesmas in 7,285 sub-districts.</w:t>
      </w:r>
      <w:hyperlink r:id="rId34">
        <w:r>
          <w:rPr>
            <w:rFonts w:ascii="Arial" w:hAnsi="Arial" w:eastAsia="Arial" w:cs="Arial"/>
            <w:vertAlign w:val="superscript"/>
            <w:color w:val="DC1E34"/>
            <w:sz w:val="16"/>
            <w:szCs w:val="16"/>
          </w:rPr>
          <w:t xml:space="preserve">35</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Private healthcare system</w:t>
      </w:r>
    </w:p>
    <w:p>
      <w:pPr>
        <w:keepLines/>
        <w:widowControl/>
        <w:spacing w:before="0" w:after="140" w:line="288" w:lineRule="exact"/>
        <w:ind w:left="0" w:firstLine="0" w:right="0"/>
        <w:jc w:val="left"/>
      </w:pPr>
      <w:r>
        <w:rPr>
          <w:rFonts w:ascii="Arial" w:hAnsi="Arial" w:eastAsia="Arial" w:cs="Arial"/>
          <w:color w:val="282829"/>
          <w:sz w:val="22"/>
          <w:szCs w:val="22"/>
        </w:rPr>
        <w:t>Private operators ran 1,576 of Indonesia’s 2,710 general hospitals, or 58 percent, in 2024.</w:t>
      </w:r>
      <w:hyperlink r:id="rId47">
        <w:r>
          <w:rPr>
            <w:rFonts w:ascii="Arial" w:hAnsi="Arial" w:eastAsia="Arial" w:cs="Arial"/>
            <w:vertAlign w:val="superscript"/>
            <w:color w:val="DC1E34"/>
            <w:sz w:val="16"/>
            <w:szCs w:val="16"/>
          </w:rPr>
          <w:t xml:space="preserve">32</w:t>
        </w:r>
      </w:hyperlink>
      <w:r>
        <w:rPr>
          <w:rFonts w:ascii="Arial" w:hAnsi="Arial" w:eastAsia="Arial" w:cs="Arial"/>
          <w:color w:val="282829"/>
          <w:sz w:val="22"/>
          <w:szCs w:val="22"/>
        </w:rPr>
        <w:t xml:space="preserve"> The listed chains are growing. In 2025 Siloam reported revenue of Rp 12.84 trillion and net profit of Rp 1.11 trillion, Mitra Keluarga Rp 5.36 trillion and Rp 1.36 trillion, and Hermina Rp 7.13 trillion with net profit down 19.85 percent to Rp 429.55 billion.</w:t>
      </w:r>
      <w:hyperlink r:id="rId50">
        <w:r>
          <w:rPr>
            <w:rFonts w:ascii="Arial" w:hAnsi="Arial" w:eastAsia="Arial" w:cs="Arial"/>
            <w:vertAlign w:val="superscript"/>
            <w:color w:val="DC1E34"/>
            <w:sz w:val="16"/>
            <w:szCs w:val="16"/>
          </w:rPr>
          <w:t xml:space="preserve">36</w:t>
        </w:r>
      </w:hyperlink>
      <w:r>
        <w:rPr>
          <w:rFonts w:ascii="Arial" w:hAnsi="Arial" w:eastAsia="Arial" w:cs="Arial"/>
          <w:color w:val="282829"/>
          <w:sz w:val="22"/>
          <w:szCs w:val="22"/>
        </w:rPr>
        <w:t xml:space="preserve"> Hermina plans three new hospitals in 2026 and more than 65 by 2030, and Mitra Keluarga plans two in Greater Jakarta and East Java.</w:t>
      </w:r>
      <w:hyperlink r:id="rId50">
        <w:r>
          <w:rPr>
            <w:rFonts w:ascii="Arial" w:hAnsi="Arial" w:eastAsia="Arial" w:cs="Arial"/>
            <w:vertAlign w:val="superscript"/>
            <w:color w:val="DC1E34"/>
            <w:sz w:val="16"/>
            <w:szCs w:val="16"/>
          </w:rPr>
          <w:t xml:space="preserve">36</w:t>
        </w:r>
      </w:hyperlink>
      <w:r>
        <w:rPr>
          <w:rFonts w:ascii="Arial" w:hAnsi="Arial" w:eastAsia="Arial" w:cs="Arial"/>
          <w:color w:val="282829"/>
          <w:sz w:val="22"/>
          <w:szCs w:val="22"/>
        </w:rPr>
        <w:t xml:space="preserve"> By September 2025 the Astra group held 7.23 percent of Hermina and the Djarum group 3.6 percent.</w:t>
      </w:r>
      <w:hyperlink r:id="rId51">
        <w:r>
          <w:rPr>
            <w:rFonts w:ascii="Arial" w:hAnsi="Arial" w:eastAsia="Arial" w:cs="Arial"/>
            <w:vertAlign w:val="superscript"/>
            <w:color w:val="DC1E34"/>
            <w:sz w:val="16"/>
            <w:szCs w:val="16"/>
          </w:rPr>
          <w:t xml:space="preserve">37</w:t>
        </w:r>
      </w:hyperlink>
    </w:p>
    <w:p>
      <w:pPr>
        <w:keepLines/>
        <w:widowControl/>
        <w:spacing w:before="0" w:after="140" w:line="288" w:lineRule="exact"/>
        <w:ind w:left="0" w:firstLine="0" w:right="0"/>
        <w:jc w:val="left"/>
      </w:pPr>
      <w:r>
        <w:rPr>
          <w:rFonts w:ascii="Arial" w:hAnsi="Arial" w:eastAsia="Arial" w:cs="Arial"/>
          <w:color w:val="282829"/>
          <w:sz w:val="22"/>
          <w:szCs w:val="22"/>
        </w:rPr>
        <w:t>The premium segment is being targeted separately. Hermina's PIK 2 hospital focuses on non-JKN patients with premium facilities.</w:t>
      </w:r>
      <w:hyperlink r:id="rId50">
        <w:r>
          <w:rPr>
            <w:rFonts w:ascii="Arial" w:hAnsi="Arial" w:eastAsia="Arial" w:cs="Arial"/>
            <w:vertAlign w:val="superscript"/>
            <w:color w:val="DC1E34"/>
            <w:sz w:val="16"/>
            <w:szCs w:val="16"/>
          </w:rPr>
          <w:t xml:space="preserve">36</w:t>
        </w:r>
      </w:hyperlink>
      <w:r>
        <w:rPr>
          <w:rFonts w:ascii="Arial" w:hAnsi="Arial" w:eastAsia="Arial" w:cs="Arial"/>
          <w:color w:val="282829"/>
          <w:sz w:val="22"/>
          <w:szCs w:val="22"/>
        </w:rPr>
        <w:t xml:space="preserve"> Mayapada Group, which Nikkei Asia describes as running one of Indonesia's largest private hospital chains, has committed Rp 6.91 trillion through 2032 to a Batam project with India's Apollo Hospitals.</w:t>
      </w:r>
      <w:hyperlink r:id="rId18">
        <w:r>
          <w:rPr>
            <w:rFonts w:ascii="Arial" w:hAnsi="Arial" w:eastAsia="Arial" w:cs="Arial"/>
            <w:vertAlign w:val="superscript"/>
            <w:color w:val="DC1E34"/>
            <w:sz w:val="16"/>
            <w:szCs w:val="16"/>
          </w:rPr>
          <w:t xml:space="preserve">7,</w:t>
        </w:r>
      </w:hyperlink>
      <w:hyperlink r:id="rId52">
        <w:r>
          <w:rPr>
            <w:rFonts w:ascii="Arial" w:hAnsi="Arial" w:eastAsia="Arial" w:cs="Arial"/>
            <w:vertAlign w:val="superscript"/>
            <w:color w:val="DC1E34"/>
            <w:sz w:val="16"/>
            <w:szCs w:val="16"/>
          </w:rPr>
          <w:t xml:space="preserve">38</w:t>
        </w:r>
      </w:hyperlink>
      <w:r>
        <w:rPr>
          <w:rFonts w:ascii="Arial" w:hAnsi="Arial" w:eastAsia="Arial" w:cs="Arial"/>
          <w:color w:val="282829"/>
          <w:sz w:val="22"/>
          <w:szCs w:val="22"/>
        </w:rPr>
        <w:t xml:space="preserve"> State-owned Pertamedika IHC is the parent company of Bali International Hospital.</w:t>
      </w:r>
      <w:hyperlink r:id="rId18">
        <w:r>
          <w:rPr>
            <w:rFonts w:ascii="Arial" w:hAnsi="Arial" w:eastAsia="Arial" w:cs="Arial"/>
            <w:vertAlign w:val="superscript"/>
            <w:color w:val="DC1E34"/>
            <w:sz w:val="16"/>
            <w:szCs w:val="16"/>
          </w:rPr>
          <w:t xml:space="preserve">7</w:t>
        </w:r>
      </w:hyperlink>
      <w:r>
        <w:rPr>
          <w:rFonts w:ascii="Arial" w:hAnsi="Arial" w:eastAsia="Arial" w:cs="Arial"/>
          <w:color w:val="282829"/>
          <w:sz w:val="22"/>
          <w:szCs w:val="22"/>
        </w:rPr>
        <w:t xml:space="preserve"> The World Bank Group's IFC also invests in private healthcare companies.</w:t>
      </w:r>
      <w:hyperlink r:id="rId23">
        <w:r>
          <w:rPr>
            <w:rFonts w:ascii="Arial" w:hAnsi="Arial" w:eastAsia="Arial" w:cs="Arial"/>
            <w:vertAlign w:val="superscript"/>
            <w:color w:val="DC1E34"/>
            <w:sz w:val="16"/>
            <w:szCs w:val="16"/>
          </w:rPr>
          <w:t xml:space="preserve">12</w:t>
        </w:r>
      </w:hyperlink>
    </w:p>
    <w:p>
      <w:pPr>
        <w:pStyle w:val="Heading1"/>
        <w:keepNext/>
        <w:keepLines/>
        <w:widowControl/>
        <w:spacing w:before="0" w:after="260" w:line="500" w:lineRule="exact"/>
        <w:ind w:left="0" w:firstLine="0" w:right="0"/>
        <w:jc w:val="left"/>
      </w:pPr>
      <w:bookmarkStart w:id="1041" w:name="financing"/>
      <w:r>
        <w:rPr>
          <w:rFonts w:ascii="Arial" w:hAnsi="Arial" w:eastAsia="Arial" w:cs="Arial"/>
          <w:color w:val="DC1E34"/>
          <w:sz w:val="42"/>
          <w:szCs w:val="42"/>
          <w:b w:val="1"/>
        </w:rPr>
        <w:t>Healthcare financing</w:t>
      </w:r>
      <w:bookmarkEnd w:id="1041"/>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Current health expenditure, share of GDP</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2.70% (2023); 3.71% in 2021 during the pandemic</w:t>
            </w:r>
            <w:hyperlink r:id="rId53">
              <w:r>
                <w:rPr>
                  <w:rFonts w:ascii="Arial" w:hAnsi="Arial" w:eastAsia="Arial" w:cs="Arial"/>
                  <w:vertAlign w:val="superscript"/>
                  <w:color w:val="DC1E34"/>
                  <w:sz w:val="16"/>
                  <w:szCs w:val="16"/>
                </w:rPr>
                <w:t xml:space="preserve">39</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Current health expenditure per capita</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US$131.78 (2023, current US$)</w:t>
            </w:r>
            <w:hyperlink r:id="rId54">
              <w:r>
                <w:rPr>
                  <w:rFonts w:ascii="Arial" w:hAnsi="Arial" w:eastAsia="Arial" w:cs="Arial"/>
                  <w:vertAlign w:val="superscript"/>
                  <w:color w:val="DC1E34"/>
                  <w:sz w:val="16"/>
                  <w:szCs w:val="16"/>
                </w:rPr>
                <w:t xml:space="preserve">40</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Government share of current health expenditure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53.6% (2023)</w:t>
            </w:r>
            <w:hyperlink r:id="rId55">
              <w:r>
                <w:rPr>
                  <w:rFonts w:ascii="Arial" w:hAnsi="Arial" w:eastAsia="Arial" w:cs="Arial"/>
                  <w:vertAlign w:val="superscript"/>
                  <w:color w:val="DC1E34"/>
                  <w:sz w:val="16"/>
                  <w:szCs w:val="16"/>
                </w:rPr>
                <w:t xml:space="preserve">41</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Out-of-pocket share of current health expenditure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31.1% (2023); 50.9% in 2013</w:t>
            </w:r>
            <w:hyperlink r:id="rId56">
              <w:r>
                <w:rPr>
                  <w:rFonts w:ascii="Arial" w:hAnsi="Arial" w:eastAsia="Arial" w:cs="Arial"/>
                  <w:vertAlign w:val="superscript"/>
                  <w:color w:val="DC1E34"/>
                  <w:sz w:val="16"/>
                  <w:szCs w:val="16"/>
                </w:rPr>
                <w:t xml:space="preserve">42</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Regional comparison, health expenditure share of GDP (2023)</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Malaysia 3.96%, Thailand 4.54%, Vietnam 4.56%, Philippines 5.10%</w:t>
            </w:r>
            <w:hyperlink r:id="rId57">
              <w:r>
                <w:rPr>
                  <w:rFonts w:ascii="Arial" w:hAnsi="Arial" w:eastAsia="Arial" w:cs="Arial"/>
                  <w:vertAlign w:val="superscript"/>
                  <w:color w:val="DC1E34"/>
                  <w:sz w:val="16"/>
                  <w:szCs w:val="16"/>
                </w:rPr>
                <w:t xml:space="preserve">43</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Health budget, 2026 draft state budget</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Rp 244 trillion, 6.4% of state spending, up 15.8% on the 2025 outlook</w:t>
            </w:r>
            <w:hyperlink r:id="rId33">
              <w:r>
                <w:rPr>
                  <w:rFonts w:ascii="Arial" w:hAnsi="Arial" w:eastAsia="Arial" w:cs="Arial"/>
                  <w:vertAlign w:val="superscript"/>
                  <w:color w:val="DC1E34"/>
                  <w:sz w:val="16"/>
                  <w:szCs w:val="16"/>
                </w:rPr>
                <w:t xml:space="preserve">44</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Health budget, 2027 draft state budget</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Rp 244.9 trillion, up 1.7% on the 2026 outlook of Rp 240.8 trillion</w:t>
            </w:r>
            <w:hyperlink r:id="rId34">
              <w:r>
                <w:rPr>
                  <w:rFonts w:ascii="Arial" w:hAnsi="Arial" w:eastAsia="Arial" w:cs="Arial"/>
                  <w:vertAlign w:val="superscript"/>
                  <w:color w:val="DC1E34"/>
                  <w:sz w:val="16"/>
                  <w:szCs w:val="16"/>
                </w:rPr>
                <w:t xml:space="preserve">35</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JKN fund deficit</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Rp 17.13 trillion (2025); Rp 7.66 trillion in 2024</w:t>
            </w:r>
            <w:hyperlink r:id="rId36">
              <w:r>
                <w:rPr>
                  <w:rFonts w:ascii="Arial" w:hAnsi="Arial" w:eastAsia="Arial" w:cs="Arial"/>
                  <w:vertAlign w:val="superscript"/>
                  <w:color w:val="DC1E34"/>
                  <w:sz w:val="16"/>
                  <w:szCs w:val="16"/>
                </w:rPr>
                <w:t xml:space="preserve">45</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82829"/>
          <w:sz w:val="22"/>
          <w:szCs w:val="22"/>
        </w:rPr>
        <w:t>Indonesia spends little on health relative to its neighbors. Current health expenditure was 2.70 percent of GDP in 2023, against 3.96 percent in Malaysia, 4.54 percent in Thailand, 4.56 percent in Vietnam and 5.10 percent in the Philippines.</w:t>
      </w:r>
      <w:hyperlink r:id="rId57">
        <w:r>
          <w:rPr>
            <w:rFonts w:ascii="Arial" w:hAnsi="Arial" w:eastAsia="Arial" w:cs="Arial"/>
            <w:vertAlign w:val="superscript"/>
            <w:color w:val="DC1E34"/>
            <w:sz w:val="16"/>
            <w:szCs w:val="16"/>
          </w:rPr>
          <w:t xml:space="preserve">43</w:t>
        </w:r>
      </w:hyperlink>
      <w:r>
        <w:rPr>
          <w:rFonts w:ascii="Arial" w:hAnsi="Arial" w:eastAsia="Arial" w:cs="Arial"/>
          <w:color w:val="282829"/>
          <w:sz w:val="22"/>
          <w:szCs w:val="22"/>
        </w:rPr>
        <w:t xml:space="preserve"> The government financed 53.6 percent of spending in 2023, and households paid 31.1 percent out of pocket.</w:t>
      </w:r>
      <w:hyperlink r:id="rId55">
        <w:r>
          <w:rPr>
            <w:rFonts w:ascii="Arial" w:hAnsi="Arial" w:eastAsia="Arial" w:cs="Arial"/>
            <w:vertAlign w:val="superscript"/>
            <w:color w:val="DC1E34"/>
            <w:sz w:val="16"/>
            <w:szCs w:val="16"/>
          </w:rPr>
          <w:t xml:space="preserve">41,</w:t>
        </w:r>
      </w:hyperlink>
      <w:hyperlink r:id="rId56">
        <w:r>
          <w:rPr>
            <w:rFonts w:ascii="Arial" w:hAnsi="Arial" w:eastAsia="Arial" w:cs="Arial"/>
            <w:vertAlign w:val="superscript"/>
            <w:color w:val="DC1E34"/>
            <w:sz w:val="16"/>
            <w:szCs w:val="16"/>
          </w:rPr>
          <w:t xml:space="preserve">42</w:t>
        </w:r>
      </w:hyperlink>
      <w:r>
        <w:rPr>
          <w:rFonts w:ascii="Arial" w:hAnsi="Arial" w:eastAsia="Arial" w:cs="Arial"/>
          <w:color w:val="282829"/>
          <w:sz w:val="22"/>
          <w:szCs w:val="22"/>
        </w:rPr>
        <w:t xml:space="preserve"> The 2026 draft state budget proposed Rp 244 trillion for health, 6.4 percent of state spending and 15.8 percent above the 2025 outlook, and the 2023 Health Law eliminated the mandatory health spending minimum.</w:t>
      </w:r>
      <w:hyperlink r:id="rId26">
        <w:r>
          <w:rPr>
            <w:rFonts w:ascii="Arial" w:hAnsi="Arial" w:eastAsia="Arial" w:cs="Arial"/>
            <w:vertAlign w:val="superscript"/>
            <w:color w:val="DC1E34"/>
            <w:sz w:val="16"/>
            <w:szCs w:val="16"/>
          </w:rPr>
          <w:t xml:space="preserve">15,</w:t>
        </w:r>
      </w:hyperlink>
      <w:hyperlink r:id="rId33">
        <w:r>
          <w:rPr>
            <w:rFonts w:ascii="Arial" w:hAnsi="Arial" w:eastAsia="Arial" w:cs="Arial"/>
            <w:vertAlign w:val="superscript"/>
            <w:color w:val="DC1E34"/>
            <w:sz w:val="16"/>
            <w:szCs w:val="16"/>
          </w:rPr>
          <w:t xml:space="preserve">44</w:t>
        </w:r>
      </w:hyperlink>
    </w:p>
    <w:p>
      <w:pPr>
        <w:keepLines/>
        <w:widowControl/>
        <w:spacing w:before="0" w:after="140" w:line="288" w:lineRule="exact"/>
        <w:ind w:left="0" w:firstLine="0" w:right="0"/>
        <w:jc w:val="left"/>
      </w:pPr>
      <w:r>
        <w:rPr>
          <w:rFonts w:ascii="Arial" w:hAnsi="Arial" w:eastAsia="Arial" w:cs="Arial"/>
          <w:color w:val="282829"/>
          <w:sz w:val="22"/>
          <w:szCs w:val="22"/>
        </w:rPr>
        <w:t>JKN's finances are the main strain. The JKN fund recorded a deficit of Rp 17.13 trillion in 2025, against Rp 7.66 trillion in 2024.</w:t>
      </w:r>
      <w:hyperlink r:id="rId36">
        <w:r>
          <w:rPr>
            <w:rFonts w:ascii="Arial" w:hAnsi="Arial" w:eastAsia="Arial" w:cs="Arial"/>
            <w:vertAlign w:val="superscript"/>
            <w:color w:val="DC1E34"/>
            <w:sz w:val="16"/>
            <w:szCs w:val="16"/>
          </w:rPr>
          <w:t xml:space="preserve">45</w:t>
        </w:r>
      </w:hyperlink>
      <w:r>
        <w:rPr>
          <w:rFonts w:ascii="Arial" w:hAnsi="Arial" w:eastAsia="Arial" w:cs="Arial"/>
          <w:color w:val="282829"/>
          <w:sz w:val="22"/>
          <w:szCs w:val="22"/>
        </w:rPr>
        <w:t xml:space="preserve"> In June 2026 BPJS Kesehatan said monthly claims of Rp 16 to 16.5 trillion exceed premium income of about Rp 14 trillion, and that it could begin missing claim payments by July 2027 without government intervention.</w:t>
      </w:r>
      <w:hyperlink r:id="rId35">
        <w:r>
          <w:rPr>
            <w:rFonts w:ascii="Arial" w:hAnsi="Arial" w:eastAsia="Arial" w:cs="Arial"/>
            <w:vertAlign w:val="superscript"/>
            <w:color w:val="DC1E34"/>
            <w:sz w:val="16"/>
            <w:szCs w:val="16"/>
          </w:rPr>
          <w:t xml:space="preserve">31</w:t>
        </w:r>
      </w:hyperlink>
      <w:r>
        <w:rPr>
          <w:rFonts w:ascii="Arial" w:hAnsi="Arial" w:eastAsia="Arial" w:cs="Arial"/>
          <w:color w:val="282829"/>
          <w:sz w:val="22"/>
          <w:szCs w:val="22"/>
        </w:rPr>
        <w:t xml:space="preserve"> These figures make reimbursement reliability a practical consideration for hospital expansion and cross-border partnerships, particularly where new services depend on JKN patients rather than private payment.</w:t>
      </w:r>
    </w:p>
    <w:p>
      <w:pPr>
        <w:pStyle w:val="Heading1"/>
        <w:keepNext/>
        <w:keepLines/>
        <w:widowControl/>
        <w:spacing w:before="0" w:after="260" w:line="500" w:lineRule="exact"/>
        <w:ind w:left="0" w:firstLine="0" w:right="0"/>
        <w:jc w:val="left"/>
      </w:pPr>
      <w:bookmarkStart w:id="1078" w:name="workforce"/>
      <w:r>
        <w:rPr>
          <w:rFonts w:ascii="Arial" w:hAnsi="Arial" w:eastAsia="Arial" w:cs="Arial"/>
          <w:color w:val="DC1E34"/>
          <w:sz w:val="42"/>
          <w:szCs w:val="42"/>
          <w:b w:val="1"/>
        </w:rPr>
        <w:t>Workforce and education</w:t>
      </w:r>
      <w:bookmarkEnd w:id="1078"/>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20"/>
        <w:gridCol w:w="5760"/>
      </w:tblGrid>
      <w:tr>
        <w:trPr>
          <w:tblHeader/>
          <w:cantSplit/>
        </w:trPr>
        <w:tc>
          <w:tcPr>
            <w:tcW w:type="dxa" w:w="432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Indicator</w:t>
            </w:r>
          </w:p>
        </w:tc>
        <w:tc>
          <w:tcPr>
            <w:tcW w:type="dxa" w:w="5760"/>
            <w:shd w:val="clear" w:color="auto" w:fill="DC1E34"/>
            <w:vAlign w:val="center"/>
            <w:tcMar>
              <w:top w:type="dxa" w:w="55"/>
              <w:bottom w:type="dxa" w:w="55"/>
              <w:left w:type="dxa" w:w="110"/>
              <w:right w:type="dxa" w:w="110"/>
            </w:tcMar>
          </w:tcPr>
          <w:p>
            <w:pPr>
              <w:keepNext/>
              <w:keepLines/>
              <w:widowControl/>
              <w:spacing w:before="0" w:after="0" w:line="252" w:lineRule="exact"/>
              <w:ind w:left="0" w:firstLine="0" w:right="0"/>
              <w:jc w:val="left"/>
            </w:pPr>
            <w:r>
              <w:rPr>
                <w:rFonts w:ascii="Arial" w:hAnsi="Arial" w:eastAsia="Arial" w:cs="Arial"/>
                <w:color w:val="FFFFFF"/>
                <w:sz w:val="21"/>
                <w:szCs w:val="21"/>
                <w:b w:val="1"/>
              </w:rPr>
              <w:t>Reported value</w:t>
            </w:r>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Physicians per 1,000 people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0.52 (2023); 0.69 in 2021</w:t>
            </w:r>
            <w:hyperlink r:id="rId58">
              <w:r>
                <w:rPr>
                  <w:rFonts w:ascii="Arial" w:hAnsi="Arial" w:eastAsia="Arial" w:cs="Arial"/>
                  <w:vertAlign w:val="superscript"/>
                  <w:color w:val="DC1E34"/>
                  <w:sz w:val="16"/>
                  <w:szCs w:val="16"/>
                </w:rPr>
                <w:t xml:space="preserve">46</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Nurses and midwives per 1,000 people</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3.24 (2023)</w:t>
            </w:r>
            <w:hyperlink r:id="rId59">
              <w:r>
                <w:rPr>
                  <w:rFonts w:ascii="Arial" w:hAnsi="Arial" w:eastAsia="Arial" w:cs="Arial"/>
                  <w:vertAlign w:val="superscript"/>
                  <w:color w:val="DC1E34"/>
                  <w:sz w:val="16"/>
                  <w:szCs w:val="16"/>
                </w:rPr>
                <w:t xml:space="preserve">47</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Hospital beds per 1,000 people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1.37 (2023)</w:t>
            </w:r>
            <w:hyperlink r:id="rId60">
              <w:r>
                <w:rPr>
                  <w:rFonts w:ascii="Arial" w:hAnsi="Arial" w:eastAsia="Arial" w:cs="Arial"/>
                  <w:vertAlign w:val="superscript"/>
                  <w:color w:val="DC1E34"/>
                  <w:sz w:val="16"/>
                  <w:szCs w:val="16"/>
                </w:rPr>
                <w:t xml:space="preserve">48</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General practitioners</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About 160,000, with about 120,000 more needed for the WHO ratio of 1 per 1,000 (Health Ministry, reported by Nikkei Asia, early 2025)</w:t>
            </w:r>
            <w:hyperlink r:id="rId18">
              <w:r>
                <w:rPr>
                  <w:rFonts w:ascii="Arial" w:hAnsi="Arial" w:eastAsia="Arial" w:cs="Arial"/>
                  <w:vertAlign w:val="superscript"/>
                  <w:color w:val="DC1E34"/>
                  <w:sz w:val="16"/>
                  <w:szCs w:val="16"/>
                </w:rPr>
                <w:t xml:space="preserve">7</w:t>
              </w:r>
            </w:hyperlink>
          </w:p>
        </w:tc>
      </w:tr>
      <w:tr>
        <w:trPr>
          <w:cantSplit/>
        </w:trPr>
        <w:tc>
          <w:tcPr>
            <w:tcW w:type="dxa" w:w="432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Specialist shortage</w:t>
            </w:r>
          </w:p>
        </w:tc>
        <w:tc>
          <w:tcPr>
            <w:tcW w:type="dxa" w:w="5760"/>
            <w:vAlign w:val="center"/>
            <w:tcMar>
              <w:top w:type="dxa" w:w="55"/>
              <w:bottom w:type="dxa" w:w="55"/>
              <w:left w:type="dxa" w:w="110"/>
              <w:right w:type="dxa" w:w="110"/>
            </w:tcMar>
            <w:shd w:val="clear" w:color="auto" w:fill="F2F4F7"/>
          </w:tcPr>
          <w:p>
            <w:pPr>
              <w:keepLines/>
              <w:widowControl/>
              <w:spacing w:before="0" w:after="0" w:line="252" w:lineRule="exact"/>
              <w:ind w:left="0" w:firstLine="0" w:right="0"/>
              <w:jc w:val="left"/>
            </w:pPr>
            <w:r>
              <w:rPr>
                <w:rFonts w:ascii="Arial" w:hAnsi="Arial" w:eastAsia="Arial" w:cs="Arial"/>
                <w:color w:val="282829"/>
                <w:sz w:val="21"/>
                <w:szCs w:val="21"/>
              </w:rPr>
              <w:t>About 29,000 (Health Minister, early 2025); about 70,000 projected through 2032</w:t>
            </w:r>
            <w:hyperlink r:id="rId18">
              <w:r>
                <w:rPr>
                  <w:rFonts w:ascii="Arial" w:hAnsi="Arial" w:eastAsia="Arial" w:cs="Arial"/>
                  <w:vertAlign w:val="superscript"/>
                  <w:color w:val="DC1E34"/>
                  <w:sz w:val="16"/>
                  <w:szCs w:val="16"/>
                </w:rPr>
                <w:t xml:space="preserve">7,</w:t>
              </w:r>
            </w:hyperlink>
            <w:hyperlink r:id="rId37">
              <w:r>
                <w:rPr>
                  <w:rFonts w:ascii="Arial" w:hAnsi="Arial" w:eastAsia="Arial" w:cs="Arial"/>
                  <w:vertAlign w:val="superscript"/>
                  <w:color w:val="DC1E34"/>
                  <w:sz w:val="16"/>
                  <w:szCs w:val="16"/>
                </w:rPr>
                <w:t xml:space="preserve">49</w:t>
              </w:r>
            </w:hyperlink>
          </w:p>
        </w:tc>
      </w:tr>
      <w:tr>
        <w:trPr>
          <w:cantSplit/>
        </w:trPr>
        <w:tc>
          <w:tcPr>
            <w:tcW w:type="dxa" w:w="432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Specialists produced per year</w:t>
            </w:r>
          </w:p>
        </w:tc>
        <w:tc>
          <w:tcPr>
            <w:tcW w:type="dxa" w:w="5760"/>
            <w:vAlign w:val="center"/>
            <w:tcMar>
              <w:top w:type="dxa" w:w="55"/>
              <w:bottom w:type="dxa" w:w="55"/>
              <w:left w:type="dxa" w:w="110"/>
              <w:right w:type="dxa" w:w="110"/>
            </w:tcMar>
          </w:tcPr>
          <w:p>
            <w:pPr>
              <w:keepLines/>
              <w:widowControl/>
              <w:spacing w:before="0" w:after="0" w:line="252" w:lineRule="exact"/>
              <w:ind w:left="0" w:firstLine="0" w:right="0"/>
              <w:jc w:val="left"/>
            </w:pPr>
            <w:r>
              <w:rPr>
                <w:rFonts w:ascii="Arial" w:hAnsi="Arial" w:eastAsia="Arial" w:cs="Arial"/>
                <w:color w:val="282829"/>
                <w:sz w:val="21"/>
                <w:szCs w:val="21"/>
              </w:rPr>
              <w:t>About 2,700, against about 32,000 needed (Health Ministry, February 2026)</w:t>
            </w:r>
            <w:hyperlink r:id="rId61">
              <w:r>
                <w:rPr>
                  <w:rFonts w:ascii="Arial" w:hAnsi="Arial" w:eastAsia="Arial" w:cs="Arial"/>
                  <w:vertAlign w:val="superscript"/>
                  <w:color w:val="DC1E34"/>
                  <w:sz w:val="16"/>
                  <w:szCs w:val="16"/>
                </w:rPr>
                <w:t xml:space="preserve">50</w:t>
              </w:r>
            </w:hyperlink>
          </w:p>
        </w:tc>
      </w:tr>
    </w:tbl>
    <w:p>
      <w:pPr>
        <w:widowControl/>
        <w:spacing w:before="0" w:after="60" w:line="40" w:lineRule="exact"/>
        <w:ind w:left="0" w:firstLine="0" w:right="0"/>
        <w:jc w:val="left"/>
      </w:pPr>
    </w:p>
    <w:p>
      <w:pPr>
        <w:keepLines/>
        <w:widowControl/>
        <w:spacing w:before="0" w:after="140" w:line="288" w:lineRule="exact"/>
        <w:ind w:left="0" w:firstLine="0" w:right="0"/>
        <w:jc w:val="left"/>
      </w:pPr>
      <w:r>
        <w:rPr>
          <w:rFonts w:ascii="Arial" w:hAnsi="Arial" w:eastAsia="Arial" w:cs="Arial"/>
          <w:color w:val="282829"/>
          <w:sz w:val="22"/>
          <w:szCs w:val="22"/>
        </w:rPr>
        <w:t>Indonesia has few doctors for its size. In 2021 it had 0.69 physicians per 1,000 people, against 2.27 in Malaysia, 1.11 in Vietnam, 0.79 in the Philippines and 2.78 in Singapore, and the separately reported 2023 figure was 0.52.</w:t>
      </w:r>
      <w:hyperlink r:id="rId58">
        <w:r>
          <w:rPr>
            <w:rFonts w:ascii="Arial" w:hAnsi="Arial" w:eastAsia="Arial" w:cs="Arial"/>
            <w:vertAlign w:val="superscript"/>
            <w:color w:val="DC1E34"/>
            <w:sz w:val="16"/>
            <w:szCs w:val="16"/>
          </w:rPr>
          <w:t xml:space="preserve">46</w:t>
        </w:r>
      </w:hyperlink>
      <w:r>
        <w:rPr>
          <w:rFonts w:ascii="Arial" w:hAnsi="Arial" w:eastAsia="Arial" w:cs="Arial"/>
          <w:color w:val="282829"/>
          <w:sz w:val="22"/>
          <w:szCs w:val="22"/>
        </w:rPr>
        <w:t xml:space="preserve"> Nikkei Asia reported in early 2025 that Indonesia had about 160,000 general practitioners for 280 million people and that the ministry said it needed 120,000 more to meet the WHO recommendation of one doctor per 1,000 residents.</w:t>
      </w:r>
      <w:hyperlink r:id="rId18">
        <w:r>
          <w:rPr>
            <w:rFonts w:ascii="Arial" w:hAnsi="Arial" w:eastAsia="Arial" w:cs="Arial"/>
            <w:vertAlign w:val="superscript"/>
            <w:color w:val="DC1E34"/>
            <w:sz w:val="16"/>
            <w:szCs w:val="16"/>
          </w:rPr>
          <w:t xml:space="preserve">7</w:t>
        </w:r>
      </w:hyperlink>
      <w:r>
        <w:rPr>
          <w:rFonts w:ascii="Arial" w:hAnsi="Arial" w:eastAsia="Arial" w:cs="Arial"/>
          <w:color w:val="282829"/>
          <w:sz w:val="22"/>
          <w:szCs w:val="22"/>
        </w:rPr>
        <w:t xml:space="preserve"> Nurses and midwives numbered 3.24 per 1,000 people and hospital beds 1.37 per 1,000 in 2023.</w:t>
      </w:r>
      <w:hyperlink r:id="rId59">
        <w:r>
          <w:rPr>
            <w:rFonts w:ascii="Arial" w:hAnsi="Arial" w:eastAsia="Arial" w:cs="Arial"/>
            <w:vertAlign w:val="superscript"/>
            <w:color w:val="DC1E34"/>
            <w:sz w:val="16"/>
            <w:szCs w:val="16"/>
          </w:rPr>
          <w:t xml:space="preserve">47,</w:t>
        </w:r>
      </w:hyperlink>
      <w:hyperlink r:id="rId60">
        <w:r>
          <w:rPr>
            <w:rFonts w:ascii="Arial" w:hAnsi="Arial" w:eastAsia="Arial" w:cs="Arial"/>
            <w:vertAlign w:val="superscript"/>
            <w:color w:val="DC1E34"/>
            <w:sz w:val="16"/>
            <w:szCs w:val="16"/>
          </w:rPr>
          <w:t xml:space="preserve">48</w:t>
        </w:r>
      </w:hyperlink>
    </w:p>
    <w:p>
      <w:pPr>
        <w:keepLines/>
        <w:widowControl/>
        <w:spacing w:before="0" w:after="140" w:line="288" w:lineRule="exact"/>
        <w:ind w:left="0" w:firstLine="0" w:right="0"/>
        <w:jc w:val="left"/>
      </w:pPr>
      <w:r>
        <w:rPr>
          <w:rFonts w:ascii="Arial" w:hAnsi="Arial" w:eastAsia="Arial" w:cs="Arial"/>
          <w:color w:val="282829"/>
          <w:sz w:val="22"/>
          <w:szCs w:val="22"/>
        </w:rPr>
        <w:t>The gap is sharpest among specialists. The minister cited a shortage of about 29,000 specialists, and the ministry says the country produces about 2,700 a year against an ideal requirement of 32,000.</w:t>
      </w:r>
      <w:hyperlink r:id="rId18">
        <w:r>
          <w:rPr>
            <w:rFonts w:ascii="Arial" w:hAnsi="Arial" w:eastAsia="Arial" w:cs="Arial"/>
            <w:vertAlign w:val="superscript"/>
            <w:color w:val="DC1E34"/>
            <w:sz w:val="16"/>
            <w:szCs w:val="16"/>
          </w:rPr>
          <w:t xml:space="preserve">7,</w:t>
        </w:r>
      </w:hyperlink>
      <w:hyperlink r:id="rId61">
        <w:r>
          <w:rPr>
            <w:rFonts w:ascii="Arial" w:hAnsi="Arial" w:eastAsia="Arial" w:cs="Arial"/>
            <w:vertAlign w:val="superscript"/>
            <w:color w:val="DC1E34"/>
            <w:sz w:val="16"/>
            <w:szCs w:val="16"/>
          </w:rPr>
          <w:t xml:space="preserve">50</w:t>
        </w:r>
      </w:hyperlink>
      <w:r>
        <w:rPr>
          <w:rFonts w:ascii="Arial" w:hAnsi="Arial" w:eastAsia="Arial" w:cs="Arial"/>
          <w:color w:val="282829"/>
          <w:sz w:val="22"/>
          <w:szCs w:val="22"/>
        </w:rPr>
        <w:t xml:space="preserve"> It projects a shortage of around 70,000 specialists through 2032.</w:t>
      </w:r>
      <w:hyperlink r:id="rId37">
        <w:r>
          <w:rPr>
            <w:rFonts w:ascii="Arial" w:hAnsi="Arial" w:eastAsia="Arial" w:cs="Arial"/>
            <w:vertAlign w:val="superscript"/>
            <w:color w:val="DC1E34"/>
            <w:sz w:val="16"/>
            <w:szCs w:val="16"/>
          </w:rPr>
          <w:t xml:space="preserve">49</w:t>
        </w:r>
      </w:hyperlink>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Education</w:t>
      </w:r>
    </w:p>
    <w:p>
      <w:pPr>
        <w:keepLines/>
        <w:widowControl/>
        <w:spacing w:before="0" w:after="140" w:line="288" w:lineRule="exact"/>
        <w:ind w:left="0" w:firstLine="0" w:right="0"/>
        <w:jc w:val="left"/>
      </w:pPr>
      <w:r>
        <w:rPr>
          <w:rFonts w:ascii="Arial" w:hAnsi="Arial" w:eastAsia="Arial" w:cs="Arial"/>
          <w:color w:val="282829"/>
          <w:sz w:val="22"/>
          <w:szCs w:val="22"/>
        </w:rPr>
        <w:t>Output is the constraint: about 2,700 specialists graduate a year against about 32,000 needed.</w:t>
      </w:r>
      <w:hyperlink r:id="rId61">
        <w:r>
          <w:rPr>
            <w:rFonts w:ascii="Arial" w:hAnsi="Arial" w:eastAsia="Arial" w:cs="Arial"/>
            <w:vertAlign w:val="superscript"/>
            <w:color w:val="DC1E34"/>
            <w:sz w:val="16"/>
            <w:szCs w:val="16"/>
          </w:rPr>
          <w:t xml:space="preserve">50</w:t>
        </w:r>
      </w:hyperlink>
      <w:r>
        <w:rPr>
          <w:rFonts w:ascii="Arial" w:hAnsi="Arial" w:eastAsia="Arial" w:cs="Arial"/>
          <w:color w:val="282829"/>
          <w:sz w:val="22"/>
          <w:szCs w:val="22"/>
        </w:rPr>
        <w:t xml:space="preserve"> President Prabowo has set a target of 70,000 more specialists, which the health and higher education ministers estimate would take 10 to 15 years, although the president wants it faster.</w:t>
      </w:r>
      <w:hyperlink r:id="rId37">
        <w:r>
          <w:rPr>
            <w:rFonts w:ascii="Arial" w:hAnsi="Arial" w:eastAsia="Arial" w:cs="Arial"/>
            <w:vertAlign w:val="superscript"/>
            <w:color w:val="DC1E34"/>
            <w:sz w:val="16"/>
            <w:szCs w:val="16"/>
          </w:rPr>
          <w:t xml:space="preserve">49</w:t>
        </w:r>
      </w:hyperlink>
      <w:r>
        <w:rPr>
          <w:rFonts w:ascii="Arial" w:hAnsi="Arial" w:eastAsia="Arial" w:cs="Arial"/>
          <w:color w:val="282829"/>
          <w:sz w:val="22"/>
          <w:szCs w:val="22"/>
        </w:rPr>
        <w:t xml:space="preserve"> The main response is hospital-based specialist training, which prioritizes general practitioners from regions without specialists and which the health minister says will not charge local trainees.</w:t>
      </w:r>
      <w:hyperlink r:id="rId61">
        <w:r>
          <w:rPr>
            <w:rFonts w:ascii="Arial" w:hAnsi="Arial" w:eastAsia="Arial" w:cs="Arial"/>
            <w:vertAlign w:val="superscript"/>
            <w:color w:val="DC1E34"/>
            <w:sz w:val="16"/>
            <w:szCs w:val="16"/>
          </w:rPr>
          <w:t xml:space="preserve">50</w:t>
        </w:r>
      </w:hyperlink>
    </w:p>
    <w:p>
      <w:pPr>
        <w:keepLines/>
        <w:widowControl/>
        <w:spacing w:before="0" w:after="140" w:line="288" w:lineRule="exact"/>
        <w:ind w:left="0" w:firstLine="0" w:right="0"/>
        <w:jc w:val="left"/>
      </w:pPr>
      <w:r>
        <w:rPr>
          <w:rFonts w:ascii="Arial" w:hAnsi="Arial" w:eastAsia="Arial" w:cs="Arial"/>
          <w:color w:val="282829"/>
          <w:sz w:val="22"/>
          <w:szCs w:val="22"/>
        </w:rPr>
        <w:t>The 2023 Health Law also changed licensing. It moved the authority to issue medical competency certificates from medical associations to the government and allows foreign doctors to practice in the country.</w:t>
      </w:r>
      <w:hyperlink r:id="rId26">
        <w:r>
          <w:rPr>
            <w:rFonts w:ascii="Arial" w:hAnsi="Arial" w:eastAsia="Arial" w:cs="Arial"/>
            <w:vertAlign w:val="superscript"/>
            <w:color w:val="DC1E34"/>
            <w:sz w:val="16"/>
            <w:szCs w:val="16"/>
          </w:rPr>
          <w:t xml:space="preserve">15</w:t>
        </w:r>
      </w:hyperlink>
      <w:r>
        <w:rPr>
          <w:rFonts w:ascii="Arial" w:hAnsi="Arial" w:eastAsia="Arial" w:cs="Arial"/>
          <w:color w:val="282829"/>
          <w:sz w:val="22"/>
          <w:szCs w:val="22"/>
        </w:rPr>
        <w:t xml:space="preserve"> In practice, the minister told Nikkei Asia that granting foreign doctors a license remained difficult, partly because the Indonesian Medical Association wants foreign recruits to speak Indonesian and recruitment to follow a clear mapping of needs. The government has also offered more scholarships for medical students.</w:t>
      </w:r>
      <w:hyperlink r:id="rId18">
        <w:r>
          <w:rPr>
            <w:rFonts w:ascii="Arial" w:hAnsi="Arial" w:eastAsia="Arial" w:cs="Arial"/>
            <w:vertAlign w:val="superscript"/>
            <w:color w:val="DC1E34"/>
            <w:sz w:val="16"/>
            <w:szCs w:val="16"/>
          </w:rPr>
          <w:t xml:space="preserve">7</w:t>
        </w:r>
      </w:hyperlink>
    </w:p>
    <w:p>
      <w:pPr>
        <w:keepLines/>
        <w:widowControl/>
        <w:spacing w:before="0" w:after="140" w:line="288" w:lineRule="exact"/>
        <w:ind w:left="0" w:firstLine="0" w:right="0"/>
        <w:jc w:val="left"/>
      </w:pPr>
      <w:r>
        <w:rPr>
          <w:rFonts w:ascii="Arial" w:hAnsi="Arial" w:eastAsia="Arial" w:cs="Arial"/>
          <w:color w:val="282829"/>
          <w:sz w:val="22"/>
          <w:szCs w:val="22"/>
        </w:rPr>
        <w:t>International training provides a complementary route. In January 2025 the ministry sent 27 doctors for one-year fellowships in China and Japan, covering interventional cardiology and neurology.</w:t>
      </w:r>
      <w:hyperlink r:id="rId62">
        <w:r>
          <w:rPr>
            <w:rFonts w:ascii="Arial" w:hAnsi="Arial" w:eastAsia="Arial" w:cs="Arial"/>
            <w:vertAlign w:val="superscript"/>
            <w:color w:val="DC1E34"/>
            <w:sz w:val="16"/>
            <w:szCs w:val="16"/>
          </w:rPr>
          <w:t xml:space="preserve">51</w:t>
        </w:r>
      </w:hyperlink>
      <w:r>
        <w:rPr>
          <w:rFonts w:ascii="Arial" w:hAnsi="Arial" w:eastAsia="Arial" w:cs="Arial"/>
          <w:color w:val="282829"/>
          <w:sz w:val="22"/>
          <w:szCs w:val="22"/>
        </w:rPr>
        <w:t xml:space="preserve"> Such programs can strengthen specific clinical teams while hospital-based education expands domestic training capacity.</w:t>
      </w:r>
    </w:p>
    <w:p>
      <w:pPr>
        <w:pStyle w:val="Heading1"/>
        <w:keepNext/>
        <w:keepLines/>
        <w:widowControl/>
        <w:spacing w:before="0" w:after="260" w:line="500" w:lineRule="exact"/>
        <w:ind w:left="0" w:firstLine="0" w:right="0"/>
        <w:jc w:val="left"/>
      </w:pPr>
      <w:bookmarkStart w:id="744" w:name="market"/>
      <w:r>
        <w:rPr>
          <w:rFonts w:ascii="Arial" w:hAnsi="Arial" w:eastAsia="Arial" w:cs="Arial"/>
          <w:color w:val="DC1E34"/>
          <w:sz w:val="42"/>
          <w:szCs w:val="42"/>
          <w:b w:val="1"/>
        </w:rPr>
        <w:t>Competitive landscape</w:t>
      </w:r>
      <w:bookmarkEnd w:id="744"/>
    </w:p>
    <w:p>
      <w:pPr>
        <w:keepLines/>
        <w:widowControl/>
        <w:spacing w:before="0" w:after="140" w:line="288" w:lineRule="exact"/>
        <w:ind w:left="0" w:firstLine="0" w:right="0"/>
        <w:jc w:val="left"/>
      </w:pPr>
      <w:r>
        <w:rPr>
          <w:rFonts w:ascii="Arial" w:hAnsi="Arial" w:eastAsia="Arial" w:cs="Arial"/>
          <w:color w:val="282829"/>
          <w:sz w:val="22"/>
          <w:szCs w:val="22"/>
        </w:rPr>
        <w:t>Foreign participation includes ownership, operations and clinical partnerships. Malaysia-based A1Health owns nine Indonesian hospitals, including RS Premier facilities.</w:t>
      </w:r>
      <w:hyperlink r:id="rId63">
        <w:r>
          <w:rPr>
            <w:rFonts w:ascii="Arial" w:hAnsi="Arial" w:eastAsia="Arial" w:cs="Arial"/>
            <w:vertAlign w:val="superscript"/>
            <w:color w:val="DC1E34"/>
            <w:sz w:val="16"/>
            <w:szCs w:val="16"/>
          </w:rPr>
          <w:t xml:space="preserve">52</w:t>
        </w:r>
      </w:hyperlink>
      <w:r>
        <w:rPr>
          <w:rFonts w:ascii="Arial" w:hAnsi="Arial" w:eastAsia="Arial" w:cs="Arial"/>
          <w:color w:val="282829"/>
          <w:sz w:val="22"/>
          <w:szCs w:val="22"/>
        </w:rPr>
        <w:t xml:space="preserve"> Australia’s Icon operates Bali International Hospital’s cancer service; SingHealth is its academic partner.</w:t>
      </w:r>
      <w:hyperlink r:id="rId64">
        <w:r>
          <w:rPr>
            <w:rFonts w:ascii="Arial" w:hAnsi="Arial" w:eastAsia="Arial" w:cs="Arial"/>
            <w:vertAlign w:val="superscript"/>
            <w:color w:val="DC1E34"/>
            <w:sz w:val="16"/>
            <w:szCs w:val="16"/>
          </w:rPr>
          <w:t xml:space="preserve">53,</w:t>
        </w:r>
      </w:hyperlink>
      <w:hyperlink r:id="rId65">
        <w:r>
          <w:rPr>
            <w:rFonts w:ascii="Arial" w:hAnsi="Arial" w:eastAsia="Arial" w:cs="Arial"/>
            <w:vertAlign w:val="superscript"/>
            <w:color w:val="DC1E34"/>
            <w:sz w:val="16"/>
            <w:szCs w:val="16"/>
          </w:rPr>
          <w:t xml:space="preserve">54</w:t>
        </w:r>
      </w:hyperlink>
      <w:r>
        <w:rPr>
          <w:rFonts w:ascii="Arial" w:hAnsi="Arial" w:eastAsia="Arial" w:cs="Arial"/>
          <w:color w:val="282829"/>
          <w:sz w:val="22"/>
          <w:szCs w:val="22"/>
        </w:rPr>
        <w:t xml:space="preserve"> Mayo Clinic consulted on BIH’s planning, but current work is unconfirmed.</w:t>
      </w:r>
      <w:hyperlink r:id="rId18">
        <w:r>
          <w:rPr>
            <w:rFonts w:ascii="Arial" w:hAnsi="Arial" w:eastAsia="Arial" w:cs="Arial"/>
            <w:vertAlign w:val="superscript"/>
            <w:color w:val="DC1E34"/>
            <w:sz w:val="16"/>
            <w:szCs w:val="16"/>
          </w:rPr>
          <w:t xml:space="preserve">7</w:t>
        </w:r>
      </w:hyperlink>
      <w:r>
        <w:rPr>
          <w:rFonts w:ascii="Arial" w:hAnsi="Arial" w:eastAsia="Arial" w:cs="Arial"/>
          <w:color w:val="282829"/>
          <w:sz w:val="22"/>
          <w:szCs w:val="22"/>
        </w:rPr>
        <w:t xml:space="preserve"> Apollo partners with Mayapada in Batam.</w:t>
      </w:r>
      <w:hyperlink r:id="rId52">
        <w:r>
          <w:rPr>
            <w:rFonts w:ascii="Arial" w:hAnsi="Arial" w:eastAsia="Arial" w:cs="Arial"/>
            <w:vertAlign w:val="superscript"/>
            <w:color w:val="DC1E34"/>
            <w:sz w:val="16"/>
            <w:szCs w:val="16"/>
          </w:rPr>
          <w:t xml:space="preserve">38</w:t>
        </w:r>
      </w:hyperlink>
      <w:r>
        <w:rPr>
          <w:rFonts w:ascii="Arial" w:hAnsi="Arial" w:eastAsia="Arial" w:cs="Arial"/>
          <w:color w:val="282829"/>
          <w:sz w:val="22"/>
          <w:szCs w:val="22"/>
        </w:rPr>
        <w:t xml:space="preserve"> Other relationships concentrate on clinical training, research and advisory services.</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Active partnerships in Indonesia</w:t>
      </w:r>
    </w:p>
    <w:p>
      <w:pPr>
        <w:keepNext/>
        <w:spacing w:after="120" w:before="60" w:line="240" w:lineRule="auto"/>
        <w:ind w:left="0" w:firstLine="0" w:right="0"/>
      </w:pPr>
      <w:r>
        <w:drawing>
          <wp:inline xmlns:a="http://schemas.openxmlformats.org/drawingml/2006/main" xmlns:pic="http://schemas.openxmlformats.org/drawingml/2006/picture" distL="0" distR="0" distT="0" distB="0">
            <wp:extent cx="6400800" cy="2880360"/>
            <wp:effectExtent l="0" t="0" r="0" b="0"/>
            <wp:docPr id="2" name="Picture 2"/>
            <wp:cNvGraphicFramePr>
              <a:graphicFrameLocks noChangeAspect="1"/>
            </wp:cNvGraphicFramePr>
            <a:graphic>
              <a:graphicData uri="http://schemas.openxmlformats.org/drawingml/2006/picture">
                <pic:pic>
                  <pic:nvPicPr>
                    <pic:cNvPr id="0" name="Indonesia_partnerships_map.png"/>
                    <pic:cNvPicPr/>
                  </pic:nvPicPr>
                  <pic:blipFill>
                    <a:blip r:embed="rId66"/>
                    <a:stretch>
                      <a:fillRect/>
                    </a:stretch>
                  </pic:blipFill>
                  <pic:spPr>
                    <a:xfrm>
                      <a:off x="0" y="0"/>
                      <a:ext cx="6400800" cy="2880360"/>
                    </a:xfrm>
                    <a:prstGeom prst="rect"/>
                  </pic:spPr>
                </pic:pic>
              </a:graphicData>
            </a:graphic>
          </wp:inline>
        </w:drawing>
      </w:r>
    </w:p>
    <w:p>
      <w:pPr>
        <w:keepLines/>
        <w:widowControl/>
        <w:spacing w:before="0" w:after="160" w:line="228" w:lineRule="exact"/>
        <w:ind w:left="0" w:firstLine="0" w:right="0"/>
        <w:jc w:val="left"/>
      </w:pPr>
      <w:r>
        <w:rPr>
          <w:rFonts w:ascii="Arial" w:hAnsi="Arial" w:eastAsia="Arial" w:cs="Arial"/>
          <w:color w:val="616161"/>
          <w:sz w:val="18"/>
          <w:szCs w:val="18"/>
        </w:rPr>
        <w:t>Active foreign health-system partnerships by city of the partner in Indonesia. Source: CSI partnerships tracker, verified 2026-10-07. Boundaries: Natural Earth; not an official depiction. Mapped: 22 active relationships with identified Indonesian sites. Five national or overseas-training programs are omitted. Greater Jakarta and Tegal/Brebes are grouped; one relationship may span cities. The planned Batam hospital is not shown.</w:t>
      </w:r>
    </w:p>
    <w:p>
      <w:pPr>
        <w:keepLines/>
        <w:widowControl/>
        <w:spacing w:before="0" w:after="140" w:line="288" w:lineRule="exact"/>
        <w:ind w:left="0" w:firstLine="0" w:right="0"/>
        <w:jc w:val="left"/>
      </w:pPr>
      <w:r>
        <w:rPr>
          <w:rFonts w:ascii="Arial" w:hAnsi="Arial" w:eastAsia="Arial" w:cs="Arial"/>
          <w:color w:val="282829"/>
          <w:sz w:val="22"/>
          <w:szCs w:val="22"/>
        </w:rPr>
        <w:t>Outbound care remains substantial. Former President Joko Widodo estimated that more than 1 million citizens travel abroad annually, costing Indonesia US$11.5 billion; Malaysia and Singapore are prominent destinations.</w:t>
      </w:r>
      <w:hyperlink r:id="rId18">
        <w:r>
          <w:rPr>
            <w:rFonts w:ascii="Arial" w:hAnsi="Arial" w:eastAsia="Arial" w:cs="Arial"/>
            <w:vertAlign w:val="superscript"/>
            <w:color w:val="DC1E34"/>
            <w:sz w:val="16"/>
            <w:szCs w:val="16"/>
          </w:rPr>
          <w:t xml:space="preserve">7</w:t>
        </w:r>
      </w:hyperlink>
      <w:r>
        <w:rPr>
          <w:rFonts w:ascii="Arial" w:hAnsi="Arial" w:eastAsia="Arial" w:cs="Arial"/>
          <w:color w:val="282829"/>
          <w:sz w:val="22"/>
          <w:szCs w:val="22"/>
        </w:rPr>
        <w:t xml:space="preserve"> These are officials’ estimates, which vary across reports.</w:t>
      </w:r>
      <w:hyperlink r:id="rId28">
        <w:r>
          <w:rPr>
            <w:rFonts w:ascii="Arial" w:hAnsi="Arial" w:eastAsia="Arial" w:cs="Arial"/>
            <w:vertAlign w:val="superscript"/>
            <w:color w:val="DC1E34"/>
            <w:sz w:val="16"/>
            <w:szCs w:val="16"/>
          </w:rPr>
          <w:t xml:space="preserve">17,</w:t>
        </w:r>
      </w:hyperlink>
      <w:hyperlink r:id="rId52">
        <w:r>
          <w:rPr>
            <w:rFonts w:ascii="Arial" w:hAnsi="Arial" w:eastAsia="Arial" w:cs="Arial"/>
            <w:vertAlign w:val="superscript"/>
            <w:color w:val="DC1E34"/>
            <w:sz w:val="16"/>
            <w:szCs w:val="16"/>
          </w:rPr>
          <w:t xml:space="preserve">38</w:t>
        </w:r>
      </w:hyperlink>
      <w:r>
        <w:rPr>
          <w:rFonts w:ascii="Arial" w:hAnsi="Arial" w:eastAsia="Arial" w:cs="Arial"/>
          <w:color w:val="282829"/>
          <w:sz w:val="22"/>
          <w:szCs w:val="22"/>
        </w:rPr>
        <w:t xml:space="preserve"> Indonesia is expanding domestic alternatives through the Sanur health special economic zone, inaugurated in June 2025, and Batam’s planned 250-bed Mayapada-Apollo hospital, with full operations targeted for late 2027.</w:t>
      </w:r>
      <w:hyperlink r:id="rId28">
        <w:r>
          <w:rPr>
            <w:rFonts w:ascii="Arial" w:hAnsi="Arial" w:eastAsia="Arial" w:cs="Arial"/>
            <w:vertAlign w:val="superscript"/>
            <w:color w:val="DC1E34"/>
            <w:sz w:val="16"/>
            <w:szCs w:val="16"/>
          </w:rPr>
          <w:t xml:space="preserve">17,</w:t>
        </w:r>
      </w:hyperlink>
      <w:hyperlink r:id="rId52">
        <w:r>
          <w:rPr>
            <w:rFonts w:ascii="Arial" w:hAnsi="Arial" w:eastAsia="Arial" w:cs="Arial"/>
            <w:vertAlign w:val="superscript"/>
            <w:color w:val="DC1E34"/>
            <w:sz w:val="16"/>
            <w:szCs w:val="16"/>
          </w:rPr>
          <w:t xml:space="preserve">38</w:t>
        </w:r>
      </w:hyperlink>
      <w:r>
        <w:rPr>
          <w:rFonts w:ascii="Arial" w:hAnsi="Arial" w:eastAsia="Arial" w:cs="Arial"/>
          <w:color w:val="282829"/>
          <w:sz w:val="22"/>
          <w:szCs w:val="22"/>
        </w:rPr>
        <w:t xml:space="preserve"> These projects combine local investment with foreign expertise, while payer constraints and specialist availability will affect their reach.</w:t>
      </w:r>
    </w:p>
    <w:p>
      <w:pPr>
        <w:pStyle w:val="Heading1"/>
        <w:keepNext/>
        <w:keepLines/>
        <w:pageBreakBefore/>
        <w:widowControl/>
        <w:spacing w:before="0" w:after="260" w:line="500" w:lineRule="exact"/>
        <w:ind w:left="0" w:firstLine="0" w:right="0"/>
        <w:jc w:val="left"/>
      </w:pPr>
      <w:bookmarkStart w:id="1081" w:name="directory"/>
      <w:r>
        <w:rPr>
          <w:rFonts w:ascii="Arial" w:hAnsi="Arial" w:eastAsia="Arial" w:cs="Arial"/>
          <w:color w:val="DC1E34"/>
          <w:sz w:val="42"/>
          <w:szCs w:val="42"/>
          <w:b w:val="1"/>
        </w:rPr>
        <w:t>Institution directory</w:t>
      </w:r>
      <w:bookmarkEnd w:id="1081"/>
    </w:p>
    <w:p>
      <w:pPr>
        <w:keepLines/>
        <w:widowControl/>
        <w:spacing w:before="0" w:after="160" w:line="228" w:lineRule="exact"/>
        <w:ind w:left="0" w:firstLine="0" w:right="0"/>
        <w:jc w:val="left"/>
      </w:pPr>
      <w:r>
        <w:rPr>
          <w:rFonts w:ascii="Arial" w:hAnsi="Arial" w:eastAsia="Arial" w:cs="Arial"/>
          <w:color w:val="616161"/>
          <w:sz w:val="18"/>
          <w:szCs w:val="18"/>
        </w:rPr>
        <w:t>Confirmed active partnerships by institution. Institutions 1 to 13 of 25; continued on the next page.</w:t>
      </w:r>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92"/>
        <w:gridCol w:w="4104"/>
        <w:gridCol w:w="1584"/>
      </w:tblGrid>
      <w:tr>
        <w:trPr>
          <w:tblHeader/>
          <w:cantSplit/>
        </w:trPr>
        <w:tc>
          <w:tcPr>
            <w:tcW w:type="dxa" w:w="4392"/>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Institution and location</w:t>
            </w:r>
          </w:p>
        </w:tc>
        <w:tc>
          <w:tcPr>
            <w:tcW w:type="dxa" w:w="410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Nature of collaboration</w:t>
            </w:r>
          </w:p>
        </w:tc>
        <w:tc>
          <w:tcPr>
            <w:tcW w:type="dxa" w:w="158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Evidence</w:t>
            </w:r>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Cedars-Sinai</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2024-12</w:t>
            </w:r>
            <w:hyperlink r:id="rId67">
              <w:r>
                <w:rPr>
                  <w:rFonts w:ascii="Arial" w:hAnsi="Arial" w:eastAsia="Arial" w:cs="Arial"/>
                  <w:vertAlign w:val="superscript"/>
                  <w:color w:val="DC1E34"/>
                  <w:sz w:val="16"/>
                  <w:szCs w:val="16"/>
                </w:rPr>
                <w:t xml:space="preserve">55,</w:t>
              </w:r>
            </w:hyperlink>
            <w:hyperlink r:id="rId68">
              <w:r>
                <w:rPr>
                  <w:rFonts w:ascii="Arial" w:hAnsi="Arial" w:eastAsia="Arial" w:cs="Arial"/>
                  <w:vertAlign w:val="superscript"/>
                  <w:color w:val="DC1E34"/>
                  <w:sz w:val="16"/>
                  <w:szCs w:val="16"/>
                </w:rPr>
                <w:t xml:space="preserve">56,</w:t>
              </w:r>
            </w:hyperlink>
            <w:hyperlink r:id="rId69">
              <w:r>
                <w:rPr>
                  <w:rFonts w:ascii="Arial" w:hAnsi="Arial" w:eastAsia="Arial" w:cs="Arial"/>
                  <w:vertAlign w:val="superscript"/>
                  <w:color w:val="DC1E34"/>
                  <w:sz w:val="16"/>
                  <w:szCs w:val="16"/>
                </w:rPr>
                <w:t xml:space="preserve">57</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Harvard Medical School and Brigham and Women's Hospital (Program in Global Primary Health Care)</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Research collaboration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2026-05</w:t>
            </w:r>
            <w:hyperlink r:id="rId70">
              <w:r>
                <w:rPr>
                  <w:rFonts w:ascii="Arial" w:hAnsi="Arial" w:eastAsia="Arial" w:cs="Arial"/>
                  <w:vertAlign w:val="superscript"/>
                  <w:color w:val="DC1E34"/>
                  <w:sz w:val="16"/>
                  <w:szCs w:val="16"/>
                </w:rPr>
                <w:t xml:space="preserve">58,</w:t>
              </w:r>
            </w:hyperlink>
            <w:hyperlink r:id="rId71">
              <w:r>
                <w:rPr>
                  <w:rFonts w:ascii="Arial" w:hAnsi="Arial" w:eastAsia="Arial" w:cs="Arial"/>
                  <w:vertAlign w:val="superscript"/>
                  <w:color w:val="DC1E34"/>
                  <w:sz w:val="16"/>
                  <w:szCs w:val="16"/>
                </w:rPr>
                <w:t xml:space="preserve">59</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MD Anderson Cancer Center</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Advisory and consulting, Government agreement</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2026-03</w:t>
            </w:r>
            <w:hyperlink r:id="rId72">
              <w:r>
                <w:rPr>
                  <w:rFonts w:ascii="Arial" w:hAnsi="Arial" w:eastAsia="Arial" w:cs="Arial"/>
                  <w:vertAlign w:val="superscript"/>
                  <w:color w:val="DC1E34"/>
                  <w:sz w:val="16"/>
                  <w:szCs w:val="16"/>
                </w:rPr>
                <w:t xml:space="preserve">60,</w:t>
              </w:r>
            </w:hyperlink>
            <w:hyperlink r:id="rId73">
              <w:r>
                <w:rPr>
                  <w:rFonts w:ascii="Arial" w:hAnsi="Arial" w:eastAsia="Arial" w:cs="Arial"/>
                  <w:vertAlign w:val="superscript"/>
                  <w:color w:val="DC1E34"/>
                  <w:sz w:val="16"/>
                  <w:szCs w:val="16"/>
                </w:rPr>
                <w:t xml:space="preserve">61,</w:t>
              </w:r>
            </w:hyperlink>
            <w:hyperlink r:id="rId74">
              <w:r>
                <w:rPr>
                  <w:rFonts w:ascii="Arial" w:hAnsi="Arial" w:eastAsia="Arial" w:cs="Arial"/>
                  <w:vertAlign w:val="superscript"/>
                  <w:color w:val="DC1E34"/>
                  <w:sz w:val="16"/>
                  <w:szCs w:val="16"/>
                </w:rPr>
                <w:t xml:space="preserve">62,</w:t>
              </w:r>
            </w:hyperlink>
            <w:hyperlink r:id="rId75">
              <w:r>
                <w:rPr>
                  <w:rFonts w:ascii="Arial" w:hAnsi="Arial" w:eastAsia="Arial" w:cs="Arial"/>
                  <w:vertAlign w:val="superscript"/>
                  <w:color w:val="DC1E34"/>
                  <w:sz w:val="16"/>
                  <w:szCs w:val="16"/>
                </w:rPr>
                <w:t xml:space="preserve">63</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Mayo Clinic</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2024-12</w:t>
            </w:r>
            <w:hyperlink r:id="rId76">
              <w:r>
                <w:rPr>
                  <w:rFonts w:ascii="Arial" w:hAnsi="Arial" w:eastAsia="Arial" w:cs="Arial"/>
                  <w:vertAlign w:val="superscript"/>
                  <w:color w:val="DC1E34"/>
                  <w:sz w:val="16"/>
                  <w:szCs w:val="16"/>
                </w:rPr>
                <w:t xml:space="preserve">64,</w:t>
              </w:r>
            </w:hyperlink>
            <w:hyperlink r:id="rId77">
              <w:r>
                <w:rPr>
                  <w:rFonts w:ascii="Arial" w:hAnsi="Arial" w:eastAsia="Arial" w:cs="Arial"/>
                  <w:vertAlign w:val="superscript"/>
                  <w:color w:val="DC1E34"/>
                  <w:sz w:val="16"/>
                  <w:szCs w:val="16"/>
                </w:rPr>
                <w:t xml:space="preserve">65,</w:t>
              </w:r>
            </w:hyperlink>
            <w:hyperlink r:id="rId78">
              <w:r>
                <w:rPr>
                  <w:rFonts w:ascii="Arial" w:hAnsi="Arial" w:eastAsia="Arial" w:cs="Arial"/>
                  <w:vertAlign w:val="superscript"/>
                  <w:color w:val="DC1E34"/>
                  <w:sz w:val="16"/>
                  <w:szCs w:val="16"/>
                </w:rPr>
                <w:t xml:space="preserve">66</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St. Jude Children's Research Hospital</w:t>
            </w:r>
          </w:p>
          <w:p>
            <w:pPr>
              <w:keepLines/>
              <w:widowControl/>
              <w:spacing w:before="0" w:after="0" w:line="220" w:lineRule="exact"/>
              <w:ind w:left="0" w:right="0" w:firstLine="0"/>
              <w:jc w:val="left"/>
            </w:pPr>
            <w:r>
              <w:rPr>
                <w:rFonts w:ascii="Arial" w:hAnsi="Arial" w:eastAsia="Arial" w:cs="Arial"/>
                <w:color w:val="616161"/>
                <w:sz w:val="18"/>
                <w:szCs w:val="18"/>
              </w:rPr>
              <w:t>United States</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2026-04</w:t>
            </w:r>
            <w:hyperlink r:id="rId79">
              <w:r>
                <w:rPr>
                  <w:rFonts w:ascii="Arial" w:hAnsi="Arial" w:eastAsia="Arial" w:cs="Arial"/>
                  <w:vertAlign w:val="superscript"/>
                  <w:color w:val="DC1E34"/>
                  <w:sz w:val="16"/>
                  <w:szCs w:val="16"/>
                </w:rPr>
                <w:t xml:space="preserve">67,</w:t>
              </w:r>
            </w:hyperlink>
            <w:hyperlink r:id="rId80">
              <w:r>
                <w:rPr>
                  <w:rFonts w:ascii="Arial" w:hAnsi="Arial" w:eastAsia="Arial" w:cs="Arial"/>
                  <w:vertAlign w:val="superscript"/>
                  <w:color w:val="DC1E34"/>
                  <w:sz w:val="16"/>
                  <w:szCs w:val="16"/>
                </w:rPr>
                <w:t xml:space="preserve">68</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Apollo Hospitals</w:t>
            </w:r>
          </w:p>
          <w:p>
            <w:pPr>
              <w:keepLines/>
              <w:widowControl/>
              <w:spacing w:before="0" w:after="0" w:line="220" w:lineRule="exact"/>
              <w:ind w:left="0" w:right="0" w:firstLine="0"/>
              <w:jc w:val="left"/>
            </w:pPr>
            <w:r>
              <w:rPr>
                <w:rFonts w:ascii="Arial" w:hAnsi="Arial" w:eastAsia="Arial" w:cs="Arial"/>
                <w:color w:val="616161"/>
                <w:sz w:val="18"/>
                <w:szCs w:val="18"/>
              </w:rPr>
              <w:t>India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2026-01</w:t>
            </w:r>
            <w:hyperlink r:id="rId81">
              <w:r>
                <w:rPr>
                  <w:rFonts w:ascii="Arial" w:hAnsi="Arial" w:eastAsia="Arial" w:cs="Arial"/>
                  <w:vertAlign w:val="superscript"/>
                  <w:color w:val="DC1E34"/>
                  <w:sz w:val="16"/>
                  <w:szCs w:val="16"/>
                </w:rPr>
                <w:t xml:space="preserve">69,</w:t>
              </w:r>
            </w:hyperlink>
            <w:hyperlink r:id="rId82">
              <w:r>
                <w:rPr>
                  <w:rFonts w:ascii="Arial" w:hAnsi="Arial" w:eastAsia="Arial" w:cs="Arial"/>
                  <w:vertAlign w:val="superscript"/>
                  <w:color w:val="DC1E34"/>
                  <w:sz w:val="16"/>
                  <w:szCs w:val="16"/>
                </w:rPr>
                <w:t xml:space="preserve">70,</w:t>
              </w:r>
            </w:hyperlink>
            <w:hyperlink r:id="rId83">
              <w:r>
                <w:rPr>
                  <w:rFonts w:ascii="Arial" w:hAnsi="Arial" w:eastAsia="Arial" w:cs="Arial"/>
                  <w:vertAlign w:val="superscript"/>
                  <w:color w:val="DC1E34"/>
                  <w:sz w:val="16"/>
                  <w:szCs w:val="16"/>
                </w:rPr>
                <w:t xml:space="preserve">71</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Asia OneHealthcare (A1Health; formerly Columbia Asia Healthcare)</w:t>
            </w:r>
          </w:p>
          <w:p>
            <w:pPr>
              <w:keepLines/>
              <w:widowControl/>
              <w:spacing w:before="0" w:after="0" w:line="220" w:lineRule="exact"/>
              <w:ind w:left="0" w:right="0" w:firstLine="0"/>
              <w:jc w:val="left"/>
            </w:pPr>
            <w:r>
              <w:rPr>
                <w:rFonts w:ascii="Arial" w:hAnsi="Arial" w:eastAsia="Arial" w:cs="Arial"/>
                <w:color w:val="616161"/>
                <w:sz w:val="18"/>
                <w:szCs w:val="18"/>
              </w:rPr>
              <w:t>Malaysia</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Ownership or management</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2026-02</w:t>
            </w:r>
            <w:hyperlink r:id="rId63">
              <w:r>
                <w:rPr>
                  <w:rFonts w:ascii="Arial" w:hAnsi="Arial" w:eastAsia="Arial" w:cs="Arial"/>
                  <w:vertAlign w:val="superscript"/>
                  <w:color w:val="DC1E34"/>
                  <w:sz w:val="16"/>
                  <w:szCs w:val="16"/>
                </w:rPr>
                <w:t xml:space="preserve">52,</w:t>
              </w:r>
            </w:hyperlink>
            <w:hyperlink r:id="rId84">
              <w:r>
                <w:rPr>
                  <w:rFonts w:ascii="Arial" w:hAnsi="Arial" w:eastAsia="Arial" w:cs="Arial"/>
                  <w:vertAlign w:val="superscript"/>
                  <w:color w:val="DC1E34"/>
                  <w:sz w:val="16"/>
                  <w:szCs w:val="16"/>
                </w:rPr>
                <w:t xml:space="preserve">72</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Chung Shan Medical University (Taiwan)</w:t>
            </w:r>
          </w:p>
          <w:p>
            <w:pPr>
              <w:keepLines/>
              <w:widowControl/>
              <w:spacing w:before="0" w:after="0" w:line="220" w:lineRule="exact"/>
              <w:ind w:left="0" w:right="0" w:firstLine="0"/>
              <w:jc w:val="left"/>
            </w:pPr>
            <w:r>
              <w:rPr>
                <w:rFonts w:ascii="Arial" w:hAnsi="Arial" w:eastAsia="Arial" w:cs="Arial"/>
                <w:color w:val="616161"/>
                <w:sz w:val="18"/>
                <w:szCs w:val="18"/>
              </w:rPr>
              <w:t>Taiwan</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2025-08</w:t>
            </w:r>
            <w:hyperlink r:id="rId85">
              <w:r>
                <w:rPr>
                  <w:rFonts w:ascii="Arial" w:hAnsi="Arial" w:eastAsia="Arial" w:cs="Arial"/>
                  <w:vertAlign w:val="superscript"/>
                  <w:color w:val="DC1E34"/>
                  <w:sz w:val="16"/>
                  <w:szCs w:val="16"/>
                </w:rPr>
                <w:t xml:space="preserve">73</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Hong Kong Asia Medical Group (HKAMG)</w:t>
            </w:r>
          </w:p>
          <w:p>
            <w:pPr>
              <w:keepLines/>
              <w:widowControl/>
              <w:spacing w:before="0" w:after="0" w:line="220" w:lineRule="exact"/>
              <w:ind w:left="0" w:right="0" w:firstLine="0"/>
              <w:jc w:val="left"/>
            </w:pPr>
            <w:r>
              <w:rPr>
                <w:rFonts w:ascii="Arial" w:hAnsi="Arial" w:eastAsia="Arial" w:cs="Arial"/>
                <w:color w:val="616161"/>
                <w:sz w:val="18"/>
                <w:szCs w:val="18"/>
              </w:rPr>
              <w:t>Hong Kong</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2025-04</w:t>
            </w:r>
            <w:hyperlink r:id="rId65">
              <w:r>
                <w:rPr>
                  <w:rFonts w:ascii="Arial" w:hAnsi="Arial" w:eastAsia="Arial" w:cs="Arial"/>
                  <w:vertAlign w:val="superscript"/>
                  <w:color w:val="DC1E34"/>
                  <w:sz w:val="16"/>
                  <w:szCs w:val="16"/>
                </w:rPr>
                <w:t xml:space="preserve">54,</w:t>
              </w:r>
            </w:hyperlink>
            <w:hyperlink r:id="rId86">
              <w:r>
                <w:rPr>
                  <w:rFonts w:ascii="Arial" w:hAnsi="Arial" w:eastAsia="Arial" w:cs="Arial"/>
                  <w:vertAlign w:val="superscript"/>
                  <w:color w:val="DC1E34"/>
                  <w:sz w:val="16"/>
                  <w:szCs w:val="16"/>
                </w:rPr>
                <w:t xml:space="preserve">74</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Icon Group (Icon Cancer Centre)</w:t>
            </w:r>
          </w:p>
          <w:p>
            <w:pPr>
              <w:keepLines/>
              <w:widowControl/>
              <w:spacing w:before="0" w:after="0" w:line="220" w:lineRule="exact"/>
              <w:ind w:left="0" w:right="0" w:firstLine="0"/>
              <w:jc w:val="left"/>
            </w:pPr>
            <w:r>
              <w:rPr>
                <w:rFonts w:ascii="Arial" w:hAnsi="Arial" w:eastAsia="Arial" w:cs="Arial"/>
                <w:color w:val="616161"/>
                <w:sz w:val="18"/>
                <w:szCs w:val="18"/>
              </w:rPr>
              <w:t>Australia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Ownership or management</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2026-03</w:t>
            </w:r>
            <w:hyperlink r:id="rId64">
              <w:r>
                <w:rPr>
                  <w:rFonts w:ascii="Arial" w:hAnsi="Arial" w:eastAsia="Arial" w:cs="Arial"/>
                  <w:vertAlign w:val="superscript"/>
                  <w:color w:val="DC1E34"/>
                  <w:sz w:val="16"/>
                  <w:szCs w:val="16"/>
                </w:rPr>
                <w:t xml:space="preserve">53,</w:t>
              </w:r>
            </w:hyperlink>
            <w:hyperlink r:id="rId87">
              <w:r>
                <w:rPr>
                  <w:rFonts w:ascii="Arial" w:hAnsi="Arial" w:eastAsia="Arial" w:cs="Arial"/>
                  <w:vertAlign w:val="superscript"/>
                  <w:color w:val="DC1E34"/>
                  <w:sz w:val="16"/>
                  <w:szCs w:val="16"/>
                </w:rPr>
                <w:t xml:space="preserve">75,</w:t>
              </w:r>
            </w:hyperlink>
            <w:hyperlink r:id="rId88">
              <w:r>
                <w:rPr>
                  <w:rFonts w:ascii="Arial" w:hAnsi="Arial" w:eastAsia="Arial" w:cs="Arial"/>
                  <w:vertAlign w:val="superscript"/>
                  <w:color w:val="DC1E34"/>
                  <w:sz w:val="16"/>
                  <w:szCs w:val="16"/>
                </w:rPr>
                <w:t xml:space="preserve">76</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International University of Health and Welfare (IUHW)</w:t>
            </w:r>
          </w:p>
          <w:p>
            <w:pPr>
              <w:keepLines/>
              <w:widowControl/>
              <w:spacing w:before="0" w:after="0" w:line="220" w:lineRule="exact"/>
              <w:ind w:left="0" w:right="0" w:firstLine="0"/>
              <w:jc w:val="left"/>
            </w:pPr>
            <w:r>
              <w:rPr>
                <w:rFonts w:ascii="Arial" w:hAnsi="Arial" w:eastAsia="Arial" w:cs="Arial"/>
                <w:color w:val="616161"/>
                <w:sz w:val="18"/>
                <w:szCs w:val="18"/>
              </w:rPr>
              <w:t>Japan</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2026-04</w:t>
            </w:r>
            <w:hyperlink r:id="rId89">
              <w:r>
                <w:rPr>
                  <w:rFonts w:ascii="Arial" w:hAnsi="Arial" w:eastAsia="Arial" w:cs="Arial"/>
                  <w:vertAlign w:val="superscript"/>
                  <w:color w:val="DC1E34"/>
                  <w:sz w:val="16"/>
                  <w:szCs w:val="16"/>
                </w:rPr>
                <w:t xml:space="preserve">77,</w:t>
              </w:r>
            </w:hyperlink>
            <w:hyperlink r:id="rId90">
              <w:r>
                <w:rPr>
                  <w:rFonts w:ascii="Arial" w:hAnsi="Arial" w:eastAsia="Arial" w:cs="Arial"/>
                  <w:vertAlign w:val="superscript"/>
                  <w:color w:val="DC1E34"/>
                  <w:sz w:val="16"/>
                  <w:szCs w:val="16"/>
                </w:rPr>
                <w:t xml:space="preserve">78</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Kobe University</w:t>
            </w:r>
          </w:p>
          <w:p>
            <w:pPr>
              <w:keepLines/>
              <w:widowControl/>
              <w:spacing w:before="0" w:after="0" w:line="220" w:lineRule="exact"/>
              <w:ind w:left="0" w:right="0" w:firstLine="0"/>
              <w:jc w:val="left"/>
            </w:pPr>
            <w:r>
              <w:rPr>
                <w:rFonts w:ascii="Arial" w:hAnsi="Arial" w:eastAsia="Arial" w:cs="Arial"/>
                <w:color w:val="616161"/>
                <w:sz w:val="18"/>
                <w:szCs w:val="18"/>
              </w:rPr>
              <w:t>Japan</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Research collaboration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2025-02</w:t>
            </w:r>
            <w:hyperlink r:id="rId91">
              <w:r>
                <w:rPr>
                  <w:rFonts w:ascii="Arial" w:hAnsi="Arial" w:eastAsia="Arial" w:cs="Arial"/>
                  <w:vertAlign w:val="superscript"/>
                  <w:color w:val="DC1E34"/>
                  <w:sz w:val="16"/>
                  <w:szCs w:val="16"/>
                </w:rPr>
                <w:t xml:space="preserve">79</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Monash Health</w:t>
            </w:r>
          </w:p>
          <w:p>
            <w:pPr>
              <w:keepLines/>
              <w:widowControl/>
              <w:spacing w:before="0" w:after="0" w:line="220" w:lineRule="exact"/>
              <w:ind w:left="0" w:right="0" w:firstLine="0"/>
              <w:jc w:val="left"/>
            </w:pPr>
            <w:r>
              <w:rPr>
                <w:rFonts w:ascii="Arial" w:hAnsi="Arial" w:eastAsia="Arial" w:cs="Arial"/>
                <w:color w:val="616161"/>
                <w:sz w:val="18"/>
                <w:szCs w:val="18"/>
              </w:rPr>
              <w:t>Australia</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2026-07</w:t>
            </w:r>
            <w:hyperlink r:id="rId92">
              <w:r>
                <w:rPr>
                  <w:rFonts w:ascii="Arial" w:hAnsi="Arial" w:eastAsia="Arial" w:cs="Arial"/>
                  <w:vertAlign w:val="superscript"/>
                  <w:color w:val="DC1E34"/>
                  <w:sz w:val="16"/>
                  <w:szCs w:val="16"/>
                </w:rPr>
                <w:t xml:space="preserve">80,</w:t>
              </w:r>
            </w:hyperlink>
            <w:hyperlink r:id="rId93">
              <w:r>
                <w:rPr>
                  <w:rFonts w:ascii="Arial" w:hAnsi="Arial" w:eastAsia="Arial" w:cs="Arial"/>
                  <w:vertAlign w:val="superscript"/>
                  <w:color w:val="DC1E34"/>
                  <w:sz w:val="16"/>
                  <w:szCs w:val="16"/>
                </w:rPr>
                <w:t xml:space="preserve">81</w:t>
              </w:r>
            </w:hyperlink>
          </w:p>
        </w:tc>
      </w:tr>
    </w:tbl>
    <w:p>
      <w:pPr>
        <w:widowControl/>
        <w:spacing w:before="0" w:after="60" w:line="40" w:lineRule="exact"/>
        <w:ind w:left="0" w:firstLine="0" w:right="0"/>
        <w:jc w:val="left"/>
      </w:pPr>
    </w:p>
    <w:p>
      <w:pPr>
        <w:pStyle w:val="Heading1"/>
        <w:keepNext/>
        <w:keepLines/>
        <w:widowControl/>
        <w:spacing w:before="0" w:after="260" w:line="500" w:lineRule="exact"/>
        <w:ind w:left="0" w:firstLine="0" w:right="0"/>
        <w:jc w:val="left"/>
      </w:pPr>
      <w:r>
        <w:rPr>
          <w:rFonts w:ascii="Arial" w:hAnsi="Arial" w:eastAsia="Arial" w:cs="Arial"/>
          <w:color w:val="DC1E34"/>
          <w:sz w:val="42"/>
          <w:szCs w:val="42"/>
          <w:b w:val="1"/>
        </w:rPr>
        <w:t>Institution directory continued</w:t>
      </w:r>
    </w:p>
    <w:p>
      <w:pPr>
        <w:keepLines/>
        <w:widowControl/>
        <w:spacing w:before="0" w:after="160" w:line="228" w:lineRule="exact"/>
        <w:ind w:left="0" w:firstLine="0" w:right="0"/>
        <w:jc w:val="left"/>
      </w:pPr>
      <w:r>
        <w:rPr>
          <w:rFonts w:ascii="Arial" w:hAnsi="Arial" w:eastAsia="Arial" w:cs="Arial"/>
          <w:color w:val="616161"/>
          <w:sz w:val="18"/>
          <w:szCs w:val="18"/>
        </w:rPr>
        <w:t>Institutions 14 to 25 of 25. Evidence dates identify the latest dated source, not contract expiration.</w:t>
      </w:r>
    </w:p>
    <w:tbl>
      <w:tblPr>
        <w:tblW w:type="dxa" w:w="10080"/>
        <w:jc w:val="lef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firstColumn="1" w:firstRow="1" w:lastColumn="0" w:lastRow="0" w:noHBand="0" w:noVBand="1" w:val="04A0"/>
      </w:tblPr>
      <w:tblGrid>
        <w:gridCol w:w="4392"/>
        <w:gridCol w:w="4104"/>
        <w:gridCol w:w="1584"/>
      </w:tblGrid>
      <w:tr>
        <w:trPr>
          <w:tblHeader/>
          <w:cantSplit/>
        </w:trPr>
        <w:tc>
          <w:tcPr>
            <w:tcW w:type="dxa" w:w="4392"/>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Institution and location</w:t>
            </w:r>
          </w:p>
        </w:tc>
        <w:tc>
          <w:tcPr>
            <w:tcW w:type="dxa" w:w="410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Nature of collaboration</w:t>
            </w:r>
          </w:p>
        </w:tc>
        <w:tc>
          <w:tcPr>
            <w:tcW w:type="dxa" w:w="1584"/>
            <w:shd w:val="clear" w:color="auto" w:fill="DC1E34"/>
            <w:vAlign w:val="center"/>
            <w:tcMar>
              <w:top w:type="dxa" w:w="70"/>
              <w:bottom w:type="dxa" w:w="70"/>
              <w:left w:type="dxa" w:w="110"/>
              <w:right w:type="dxa" w:w="110"/>
            </w:tcMar>
          </w:tcPr>
          <w:p>
            <w:pPr>
              <w:keepNext/>
              <w:keepLines/>
              <w:widowControl/>
              <w:spacing w:before="0" w:after="0" w:line="240" w:lineRule="exact"/>
              <w:ind w:left="0" w:firstLine="0" w:right="0"/>
              <w:jc w:val="left"/>
            </w:pPr>
            <w:r>
              <w:rPr>
                <w:rFonts w:ascii="Arial" w:hAnsi="Arial" w:eastAsia="Arial" w:cs="Arial"/>
                <w:color w:val="FFFFFF"/>
                <w:sz w:val="20"/>
                <w:szCs w:val="20"/>
                <w:b w:val="1"/>
              </w:rPr>
              <w:t>Evidence</w:t>
            </w:r>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Ramathibodi Hospital, Mahidol University</w:t>
            </w:r>
          </w:p>
          <w:p>
            <w:pPr>
              <w:keepLines/>
              <w:widowControl/>
              <w:spacing w:before="0" w:after="0" w:line="220" w:lineRule="exact"/>
              <w:ind w:left="0" w:right="0" w:firstLine="0"/>
              <w:jc w:val="left"/>
            </w:pPr>
            <w:r>
              <w:rPr>
                <w:rFonts w:ascii="Arial" w:hAnsi="Arial" w:eastAsia="Arial" w:cs="Arial"/>
                <w:color w:val="616161"/>
                <w:sz w:val="18"/>
                <w:szCs w:val="18"/>
              </w:rPr>
              <w:t>Thailand</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2025-05</w:t>
            </w:r>
            <w:hyperlink r:id="rId94">
              <w:r>
                <w:rPr>
                  <w:rFonts w:ascii="Arial" w:hAnsi="Arial" w:eastAsia="Arial" w:cs="Arial"/>
                  <w:vertAlign w:val="superscript"/>
                  <w:color w:val="DC1E34"/>
                  <w:sz w:val="16"/>
                  <w:szCs w:val="16"/>
                </w:rPr>
                <w:t xml:space="preserve">82</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Sapporo Cardiovascular Clinic</w:t>
            </w:r>
          </w:p>
          <w:p>
            <w:pPr>
              <w:keepLines/>
              <w:widowControl/>
              <w:spacing w:before="0" w:after="0" w:line="220" w:lineRule="exact"/>
              <w:ind w:left="0" w:right="0" w:firstLine="0"/>
              <w:jc w:val="left"/>
            </w:pPr>
            <w:r>
              <w:rPr>
                <w:rFonts w:ascii="Arial" w:hAnsi="Arial" w:eastAsia="Arial" w:cs="Arial"/>
                <w:color w:val="616161"/>
                <w:sz w:val="18"/>
                <w:szCs w:val="18"/>
              </w:rPr>
              <w:t>Japan</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2025-04</w:t>
            </w:r>
            <w:hyperlink r:id="rId62">
              <w:r>
                <w:rPr>
                  <w:rFonts w:ascii="Arial" w:hAnsi="Arial" w:eastAsia="Arial" w:cs="Arial"/>
                  <w:vertAlign w:val="superscript"/>
                  <w:color w:val="DC1E34"/>
                  <w:sz w:val="16"/>
                  <w:szCs w:val="16"/>
                </w:rPr>
                <w:t xml:space="preserve">51,</w:t>
              </w:r>
            </w:hyperlink>
            <w:hyperlink r:id="rId65">
              <w:r>
                <w:rPr>
                  <w:rFonts w:ascii="Arial" w:hAnsi="Arial" w:eastAsia="Arial" w:cs="Arial"/>
                  <w:vertAlign w:val="superscript"/>
                  <w:color w:val="DC1E34"/>
                  <w:sz w:val="16"/>
                  <w:szCs w:val="16"/>
                </w:rPr>
                <w:t xml:space="preserve">54</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Seoul National University Hospital</w:t>
            </w:r>
          </w:p>
          <w:p>
            <w:pPr>
              <w:keepLines/>
              <w:widowControl/>
              <w:spacing w:before="0" w:after="0" w:line="220" w:lineRule="exact"/>
              <w:ind w:left="0" w:right="0" w:firstLine="0"/>
              <w:jc w:val="left"/>
            </w:pPr>
            <w:r>
              <w:rPr>
                <w:rFonts w:ascii="Arial" w:hAnsi="Arial" w:eastAsia="Arial" w:cs="Arial"/>
                <w:color w:val="616161"/>
                <w:sz w:val="18"/>
                <w:szCs w:val="18"/>
              </w:rPr>
              <w:t>South Korea</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Clinical affiliation, 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2026-04</w:t>
            </w:r>
            <w:hyperlink r:id="rId95">
              <w:r>
                <w:rPr>
                  <w:rFonts w:ascii="Arial" w:hAnsi="Arial" w:eastAsia="Arial" w:cs="Arial"/>
                  <w:vertAlign w:val="superscript"/>
                  <w:color w:val="DC1E34"/>
                  <w:sz w:val="16"/>
                  <w:szCs w:val="16"/>
                </w:rPr>
                <w:t xml:space="preserve">83,</w:t>
              </w:r>
            </w:hyperlink>
            <w:hyperlink r:id="rId96">
              <w:r>
                <w:rPr>
                  <w:rFonts w:ascii="Arial" w:hAnsi="Arial" w:eastAsia="Arial" w:cs="Arial"/>
                  <w:vertAlign w:val="superscript"/>
                  <w:color w:val="DC1E34"/>
                  <w:sz w:val="16"/>
                  <w:szCs w:val="16"/>
                </w:rPr>
                <w:t xml:space="preserve">84,</w:t>
              </w:r>
            </w:hyperlink>
            <w:hyperlink r:id="rId97">
              <w:r>
                <w:rPr>
                  <w:rFonts w:ascii="Arial" w:hAnsi="Arial" w:eastAsia="Arial" w:cs="Arial"/>
                  <w:vertAlign w:val="superscript"/>
                  <w:color w:val="DC1E34"/>
                  <w:sz w:val="16"/>
                  <w:szCs w:val="16"/>
                </w:rPr>
                <w:t xml:space="preserve">85</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SingHealth</w:t>
            </w:r>
          </w:p>
          <w:p>
            <w:pPr>
              <w:keepLines/>
              <w:widowControl/>
              <w:spacing w:before="0" w:after="0" w:line="220" w:lineRule="exact"/>
              <w:ind w:left="0" w:right="0" w:firstLine="0"/>
              <w:jc w:val="left"/>
            </w:pPr>
            <w:r>
              <w:rPr>
                <w:rFonts w:ascii="Arial" w:hAnsi="Arial" w:eastAsia="Arial" w:cs="Arial"/>
                <w:color w:val="616161"/>
                <w:sz w:val="18"/>
                <w:szCs w:val="18"/>
              </w:rPr>
              <w:t>Singapore</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Advisory and consulting</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2025-04</w:t>
            </w:r>
            <w:hyperlink r:id="rId65">
              <w:r>
                <w:rPr>
                  <w:rFonts w:ascii="Arial" w:hAnsi="Arial" w:eastAsia="Arial" w:cs="Arial"/>
                  <w:vertAlign w:val="superscript"/>
                  <w:color w:val="DC1E34"/>
                  <w:sz w:val="16"/>
                  <w:szCs w:val="16"/>
                </w:rPr>
                <w:t xml:space="preserve">54,</w:t>
              </w:r>
            </w:hyperlink>
            <w:hyperlink r:id="rId98">
              <w:r>
                <w:rPr>
                  <w:rFonts w:ascii="Arial" w:hAnsi="Arial" w:eastAsia="Arial" w:cs="Arial"/>
                  <w:vertAlign w:val="superscript"/>
                  <w:color w:val="DC1E34"/>
                  <w:sz w:val="16"/>
                  <w:szCs w:val="16"/>
                </w:rPr>
                <w:t xml:space="preserve">86,</w:t>
              </w:r>
            </w:hyperlink>
            <w:hyperlink r:id="rId99">
              <w:r>
                <w:rPr>
                  <w:rFonts w:ascii="Arial" w:hAnsi="Arial" w:eastAsia="Arial" w:cs="Arial"/>
                  <w:vertAlign w:val="superscript"/>
                  <w:color w:val="DC1E34"/>
                  <w:sz w:val="16"/>
                  <w:szCs w:val="16"/>
                </w:rPr>
                <w:t xml:space="preserve">87</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SingHealth Duke-NUS Global Health Institute (SingHealth and Duke-NUS Medical School)</w:t>
            </w:r>
          </w:p>
          <w:p>
            <w:pPr>
              <w:keepLines/>
              <w:widowControl/>
              <w:spacing w:before="0" w:after="0" w:line="220" w:lineRule="exact"/>
              <w:ind w:left="0" w:right="0" w:firstLine="0"/>
              <w:jc w:val="left"/>
            </w:pPr>
            <w:r>
              <w:rPr>
                <w:rFonts w:ascii="Arial" w:hAnsi="Arial" w:eastAsia="Arial" w:cs="Arial"/>
                <w:color w:val="616161"/>
                <w:sz w:val="18"/>
                <w:szCs w:val="18"/>
              </w:rPr>
              <w:t>Singapore</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2025-07</w:t>
            </w:r>
            <w:hyperlink r:id="rId100">
              <w:r>
                <w:rPr>
                  <w:rFonts w:ascii="Arial" w:hAnsi="Arial" w:eastAsia="Arial" w:cs="Arial"/>
                  <w:vertAlign w:val="superscript"/>
                  <w:color w:val="DC1E34"/>
                  <w:sz w:val="16"/>
                  <w:szCs w:val="16"/>
                </w:rPr>
                <w:t xml:space="preserve">88,</w:t>
              </w:r>
            </w:hyperlink>
            <w:hyperlink r:id="rId101">
              <w:r>
                <w:rPr>
                  <w:rFonts w:ascii="Arial" w:hAnsi="Arial" w:eastAsia="Arial" w:cs="Arial"/>
                  <w:vertAlign w:val="superscript"/>
                  <w:color w:val="DC1E34"/>
                  <w:sz w:val="16"/>
                  <w:szCs w:val="16"/>
                </w:rPr>
                <w:t xml:space="preserve">89</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Sun Medical Center / Sun Healthcare International</w:t>
            </w:r>
          </w:p>
          <w:p>
            <w:pPr>
              <w:keepLines/>
              <w:widowControl/>
              <w:spacing w:before="0" w:after="0" w:line="220" w:lineRule="exact"/>
              <w:ind w:left="0" w:right="0" w:firstLine="0"/>
              <w:jc w:val="left"/>
            </w:pPr>
            <w:r>
              <w:rPr>
                <w:rFonts w:ascii="Arial" w:hAnsi="Arial" w:eastAsia="Arial" w:cs="Arial"/>
                <w:color w:val="616161"/>
                <w:sz w:val="18"/>
                <w:szCs w:val="18"/>
              </w:rPr>
              <w:t>South Korea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2025-06</w:t>
            </w:r>
            <w:hyperlink r:id="rId102">
              <w:r>
                <w:rPr>
                  <w:rFonts w:ascii="Arial" w:hAnsi="Arial" w:eastAsia="Arial" w:cs="Arial"/>
                  <w:vertAlign w:val="superscript"/>
                  <w:color w:val="DC1E34"/>
                  <w:sz w:val="16"/>
                  <w:szCs w:val="16"/>
                </w:rPr>
                <w:t xml:space="preserve">90,</w:t>
              </w:r>
            </w:hyperlink>
            <w:hyperlink r:id="rId103">
              <w:r>
                <w:rPr>
                  <w:rFonts w:ascii="Arial" w:hAnsi="Arial" w:eastAsia="Arial" w:cs="Arial"/>
                  <w:vertAlign w:val="superscript"/>
                  <w:color w:val="DC1E34"/>
                  <w:sz w:val="16"/>
                  <w:szCs w:val="16"/>
                </w:rPr>
                <w:t xml:space="preserve">91</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Taipei Veterans General Hospital</w:t>
            </w:r>
          </w:p>
          <w:p>
            <w:pPr>
              <w:keepLines/>
              <w:widowControl/>
              <w:spacing w:before="0" w:after="0" w:line="220" w:lineRule="exact"/>
              <w:ind w:left="0" w:right="0" w:firstLine="0"/>
              <w:jc w:val="left"/>
            </w:pPr>
            <w:r>
              <w:rPr>
                <w:rFonts w:ascii="Arial" w:hAnsi="Arial" w:eastAsia="Arial" w:cs="Arial"/>
                <w:color w:val="616161"/>
                <w:sz w:val="18"/>
                <w:szCs w:val="18"/>
              </w:rPr>
              <w:t>Taiwan</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2025-05</w:t>
            </w:r>
            <w:hyperlink r:id="rId104">
              <w:r>
                <w:rPr>
                  <w:rFonts w:ascii="Arial" w:hAnsi="Arial" w:eastAsia="Arial" w:cs="Arial"/>
                  <w:vertAlign w:val="superscript"/>
                  <w:color w:val="DC1E34"/>
                  <w:sz w:val="16"/>
                  <w:szCs w:val="16"/>
                </w:rPr>
                <w:t xml:space="preserve">92</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Tokushukai Medical Group</w:t>
            </w:r>
          </w:p>
          <w:p>
            <w:pPr>
              <w:keepLines/>
              <w:widowControl/>
              <w:spacing w:before="0" w:after="0" w:line="220" w:lineRule="exact"/>
              <w:ind w:left="0" w:right="0" w:firstLine="0"/>
              <w:jc w:val="left"/>
            </w:pPr>
            <w:r>
              <w:rPr>
                <w:rFonts w:ascii="Arial" w:hAnsi="Arial" w:eastAsia="Arial" w:cs="Arial"/>
                <w:color w:val="616161"/>
                <w:sz w:val="18"/>
                <w:szCs w:val="18"/>
              </w:rPr>
              <w:t>Japan</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Clinical affiliation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2026-04</w:t>
            </w:r>
            <w:hyperlink r:id="rId105">
              <w:r>
                <w:rPr>
                  <w:rFonts w:ascii="Arial" w:hAnsi="Arial" w:eastAsia="Arial" w:cs="Arial"/>
                  <w:vertAlign w:val="superscript"/>
                  <w:color w:val="DC1E34"/>
                  <w:sz w:val="16"/>
                  <w:szCs w:val="16"/>
                </w:rPr>
                <w:t xml:space="preserve">93,</w:t>
              </w:r>
            </w:hyperlink>
            <w:hyperlink r:id="rId106">
              <w:r>
                <w:rPr>
                  <w:rFonts w:ascii="Arial" w:hAnsi="Arial" w:eastAsia="Arial" w:cs="Arial"/>
                  <w:vertAlign w:val="superscript"/>
                  <w:color w:val="DC1E34"/>
                  <w:sz w:val="16"/>
                  <w:szCs w:val="16"/>
                </w:rPr>
                <w:t xml:space="preserve">94,</w:t>
              </w:r>
            </w:hyperlink>
            <w:hyperlink r:id="rId107">
              <w:r>
                <w:rPr>
                  <w:rFonts w:ascii="Arial" w:hAnsi="Arial" w:eastAsia="Arial" w:cs="Arial"/>
                  <w:vertAlign w:val="superscript"/>
                  <w:color w:val="DC1E34"/>
                  <w:sz w:val="16"/>
                  <w:szCs w:val="16"/>
                </w:rPr>
                <w:t xml:space="preserve">95</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University of Glasgow and CRUK Scotland Institute</w:t>
            </w:r>
          </w:p>
          <w:p>
            <w:pPr>
              <w:keepLines/>
              <w:widowControl/>
              <w:spacing w:before="0" w:after="0" w:line="220" w:lineRule="exact"/>
              <w:ind w:left="0" w:right="0" w:firstLine="0"/>
              <w:jc w:val="left"/>
            </w:pPr>
            <w:r>
              <w:rPr>
                <w:rFonts w:ascii="Arial" w:hAnsi="Arial" w:eastAsia="Arial" w:cs="Arial"/>
                <w:color w:val="616161"/>
                <w:sz w:val="18"/>
                <w:szCs w:val="18"/>
              </w:rPr>
              <w:t>United Kingdom</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2026-05</w:t>
            </w:r>
            <w:hyperlink r:id="rId108">
              <w:r>
                <w:rPr>
                  <w:rFonts w:ascii="Arial" w:hAnsi="Arial" w:eastAsia="Arial" w:cs="Arial"/>
                  <w:vertAlign w:val="superscript"/>
                  <w:color w:val="DC1E34"/>
                  <w:sz w:val="16"/>
                  <w:szCs w:val="16"/>
                </w:rPr>
                <w:t xml:space="preserve">96</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Wuhan Asia Heart Hospital</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2024-11</w:t>
            </w:r>
            <w:hyperlink r:id="rId109">
              <w:r>
                <w:rPr>
                  <w:rFonts w:ascii="Arial" w:hAnsi="Arial" w:eastAsia="Arial" w:cs="Arial"/>
                  <w:vertAlign w:val="superscript"/>
                  <w:color w:val="DC1E34"/>
                  <w:sz w:val="16"/>
                  <w:szCs w:val="16"/>
                </w:rPr>
                <w:t xml:space="preserve">97</w:t>
              </w:r>
            </w:hyperlink>
          </w:p>
        </w:tc>
      </w:tr>
      <w:tr>
        <w:trPr>
          <w:cantSplit/>
        </w:trPr>
        <w:tc>
          <w:tcPr>
            <w:tcW w:type="dxa" w:w="4392"/>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b/>
                <w:color w:val="282829"/>
                <w:sz w:val="20"/>
                <w:szCs w:val="20"/>
              </w:rPr>
              <w:t>Zhongda Hospital (Southeast University)</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shd w:val="clear" w:color="auto" w:fill="F2F4F7"/>
          </w:tcPr>
          <w:p>
            <w:pPr>
              <w:keepLines/>
              <w:widowControl/>
              <w:spacing w:before="0" w:after="0" w:line="240" w:lineRule="exact"/>
              <w:ind w:left="0" w:firstLine="0" w:right="0"/>
              <w:jc w:val="left"/>
            </w:pPr>
            <w:r>
              <w:rPr>
                <w:rFonts w:ascii="Arial" w:hAnsi="Arial" w:eastAsia="Arial" w:cs="Arial"/>
                <w:color w:val="282829"/>
                <w:sz w:val="20"/>
                <w:szCs w:val="20"/>
              </w:rPr>
              <w:t>2025-01</w:t>
            </w:r>
            <w:hyperlink r:id="rId62">
              <w:r>
                <w:rPr>
                  <w:rFonts w:ascii="Arial" w:hAnsi="Arial" w:eastAsia="Arial" w:cs="Arial"/>
                  <w:vertAlign w:val="superscript"/>
                  <w:color w:val="DC1E34"/>
                  <w:sz w:val="16"/>
                  <w:szCs w:val="16"/>
                </w:rPr>
                <w:t xml:space="preserve">51</w:t>
              </w:r>
            </w:hyperlink>
          </w:p>
        </w:tc>
      </w:tr>
      <w:tr>
        <w:trPr>
          <w:cantSplit/>
        </w:trPr>
        <w:tc>
          <w:tcPr>
            <w:tcW w:type="dxa" w:w="4392"/>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b/>
                <w:color w:val="282829"/>
                <w:sz w:val="20"/>
                <w:szCs w:val="20"/>
              </w:rPr>
              <w:t>Zhongshan Hospital (Fudan University)</w:t>
            </w:r>
          </w:p>
          <w:p>
            <w:pPr>
              <w:keepLines/>
              <w:widowControl/>
              <w:spacing w:before="0" w:after="0" w:line="220" w:lineRule="exact"/>
              <w:ind w:left="0" w:right="0" w:firstLine="0"/>
              <w:jc w:val="left"/>
            </w:pPr>
            <w:r>
              <w:rPr>
                <w:rFonts w:ascii="Arial" w:hAnsi="Arial" w:eastAsia="Arial" w:cs="Arial"/>
                <w:color w:val="616161"/>
                <w:sz w:val="18"/>
                <w:szCs w:val="18"/>
              </w:rPr>
              <w:t>China</w:t>
            </w:r>
          </w:p>
        </w:tc>
        <w:tc>
          <w:tcPr>
            <w:tcW w:type="dxa" w:w="410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Training and education</w:t>
            </w:r>
          </w:p>
        </w:tc>
        <w:tc>
          <w:tcPr>
            <w:tcW w:type="dxa" w:w="1584"/>
            <w:vAlign w:val="center"/>
            <w:tcMar>
              <w:top w:type="dxa" w:w="70"/>
              <w:bottom w:type="dxa" w:w="70"/>
              <w:left w:type="dxa" w:w="110"/>
              <w:right w:type="dxa" w:w="110"/>
            </w:tcMar>
          </w:tcPr>
          <w:p>
            <w:pPr>
              <w:keepLines/>
              <w:widowControl/>
              <w:spacing w:before="0" w:after="0" w:line="240" w:lineRule="exact"/>
              <w:ind w:left="0" w:firstLine="0" w:right="0"/>
              <w:jc w:val="left"/>
            </w:pPr>
            <w:r>
              <w:rPr>
                <w:rFonts w:ascii="Arial" w:hAnsi="Arial" w:eastAsia="Arial" w:cs="Arial"/>
                <w:color w:val="282829"/>
                <w:sz w:val="20"/>
                <w:szCs w:val="20"/>
              </w:rPr>
              <w:t>2025-01</w:t>
            </w:r>
            <w:hyperlink r:id="rId62">
              <w:r>
                <w:rPr>
                  <w:rFonts w:ascii="Arial" w:hAnsi="Arial" w:eastAsia="Arial" w:cs="Arial"/>
                  <w:vertAlign w:val="superscript"/>
                  <w:color w:val="DC1E34"/>
                  <w:sz w:val="16"/>
                  <w:szCs w:val="16"/>
                </w:rPr>
                <w:t xml:space="preserve">51,</w:t>
              </w:r>
            </w:hyperlink>
            <w:hyperlink r:id="rId109">
              <w:r>
                <w:rPr>
                  <w:rFonts w:ascii="Arial" w:hAnsi="Arial" w:eastAsia="Arial" w:cs="Arial"/>
                  <w:vertAlign w:val="superscript"/>
                  <w:color w:val="DC1E34"/>
                  <w:sz w:val="16"/>
                  <w:szCs w:val="16"/>
                </w:rPr>
                <w:t xml:space="preserve">97,</w:t>
              </w:r>
            </w:hyperlink>
            <w:hyperlink r:id="rId110">
              <w:r>
                <w:rPr>
                  <w:rFonts w:ascii="Arial" w:hAnsi="Arial" w:eastAsia="Arial" w:cs="Arial"/>
                  <w:vertAlign w:val="superscript"/>
                  <w:color w:val="DC1E34"/>
                  <w:sz w:val="16"/>
                  <w:szCs w:val="16"/>
                </w:rPr>
                <w:t xml:space="preserve">98</w:t>
              </w:r>
            </w:hyperlink>
          </w:p>
        </w:tc>
      </w:tr>
    </w:tbl>
    <w:p>
      <w:pPr>
        <w:widowControl/>
        <w:spacing w:before="0" w:after="60" w:line="40" w:lineRule="exact"/>
        <w:ind w:left="0" w:firstLine="0" w:right="0"/>
        <w:jc w:val="left"/>
      </w:pPr>
    </w:p>
    <w:p>
      <w:pPr>
        <w:keepLines/>
        <w:widowControl/>
        <w:spacing w:before="0" w:after="160" w:line="228" w:lineRule="exact"/>
        <w:ind w:left="0" w:firstLine="0" w:right="0"/>
        <w:jc w:val="left"/>
      </w:pPr>
      <w:r>
        <w:rPr>
          <w:rFonts w:ascii="Arial" w:hAnsi="Arial" w:eastAsia="Arial" w:cs="Arial"/>
          <w:color w:val="616161"/>
          <w:sz w:val="18"/>
          <w:szCs w:val="18"/>
        </w:rPr>
        <w:t>Only partnerships with dated evidence of activity in the last 24 months are listed. Unclear and recently ended partnerships are in the CSI partnerships tracker.</w:t>
      </w:r>
    </w:p>
    <w:p>
      <w:pPr>
        <w:pStyle w:val="Heading1"/>
        <w:keepNext/>
        <w:keepLines/>
        <w:widowControl/>
        <w:spacing w:before="0" w:after="260" w:line="500" w:lineRule="exact"/>
        <w:ind w:left="0" w:firstLine="0" w:right="0"/>
        <w:jc w:val="left"/>
      </w:pPr>
      <w:bookmarkStart w:id="741" w:name="recent"/>
      <w:r>
        <w:rPr>
          <w:rFonts w:ascii="Arial" w:hAnsi="Arial" w:eastAsia="Arial" w:cs="Arial"/>
          <w:color w:val="DC1E34"/>
          <w:sz w:val="42"/>
          <w:szCs w:val="42"/>
          <w:b w:val="1"/>
        </w:rPr>
        <w:t>Recent developments</w:t>
      </w:r>
      <w:bookmarkEnd w:id="741"/>
    </w:p>
    <w:p>
      <w:pPr>
        <w:keepNext/>
        <w:widowControl/>
        <w:spacing w:before="180" w:after="120" w:line="280" w:lineRule="exact"/>
        <w:ind w:left="0" w:firstLine="0" w:right="0"/>
        <w:jc w:val="left"/>
      </w:pPr>
      <w:r>
        <w:rPr>
          <w:rFonts w:ascii="Arial" w:hAnsi="Arial" w:eastAsia="Arial" w:cs="Arial"/>
          <w:color w:val="DC1E34"/>
          <w:sz w:val="22"/>
          <w:szCs w:val="22"/>
          <w:b w:val="1"/>
        </w:rPr>
        <w:t>2026-08-04  Free health checks reach 73.8 million participants in 2026</w:t>
      </w:r>
    </w:p>
    <w:p>
      <w:pPr>
        <w:keepLines/>
        <w:widowControl/>
        <w:spacing w:before="0" w:after="260" w:line="288" w:lineRule="exact"/>
        <w:ind w:left="0" w:firstLine="0" w:right="0"/>
        <w:jc w:val="left"/>
      </w:pPr>
      <w:r>
        <w:rPr>
          <w:rFonts w:ascii="Arial" w:hAnsi="Arial" w:eastAsia="Arial" w:cs="Arial"/>
          <w:color w:val="282829"/>
          <w:sz w:val="22"/>
          <w:szCs w:val="22"/>
        </w:rPr>
        <w:t>The ministry reported 73.8 million free health checks in 2026 through 31 July, against a 130 million annual target, following about 70 million in 2025. It is strengthening follow-up for high blood pressure, high blood sugar and high cholesterol.</w:t>
      </w:r>
      <w:hyperlink r:id="rId27">
        <w:r>
          <w:rPr>
            <w:rFonts w:ascii="Arial" w:hAnsi="Arial" w:eastAsia="Arial" w:cs="Arial"/>
            <w:vertAlign w:val="superscript"/>
            <w:color w:val="DC1E34"/>
            <w:sz w:val="16"/>
            <w:szCs w:val="16"/>
          </w:rPr>
          <w:t xml:space="preserve">16</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2025-06-25  President Prabowo inaugurates Sanur health special economic zone in Bali</w:t>
      </w:r>
    </w:p>
    <w:p>
      <w:pPr>
        <w:keepLines/>
        <w:widowControl/>
        <w:spacing w:before="0" w:after="260" w:line="288" w:lineRule="exact"/>
        <w:ind w:left="0" w:firstLine="0" w:right="0"/>
        <w:jc w:val="left"/>
      </w:pPr>
      <w:r>
        <w:rPr>
          <w:rFonts w:ascii="Arial" w:hAnsi="Arial" w:eastAsia="Arial" w:cs="Arial"/>
          <w:color w:val="282829"/>
          <w:sz w:val="22"/>
          <w:szCs w:val="22"/>
        </w:rPr>
        <w:t>The Sanur zone, Indonesia’s first health-focused special economic zone, centers on Bali International Hospital and is operated under Danantara.</w:t>
      </w:r>
      <w:hyperlink r:id="rId28">
        <w:r>
          <w:rPr>
            <w:rFonts w:ascii="Arial" w:hAnsi="Arial" w:eastAsia="Arial" w:cs="Arial"/>
            <w:vertAlign w:val="superscript"/>
            <w:color w:val="DC1E34"/>
            <w:sz w:val="16"/>
            <w:szCs w:val="16"/>
          </w:rPr>
          <w:t xml:space="preserve">17</w:t>
        </w:r>
      </w:hyperlink>
      <w:r>
        <w:rPr>
          <w:rFonts w:ascii="Arial" w:hAnsi="Arial" w:eastAsia="Arial" w:cs="Arial"/>
          <w:color w:val="282829"/>
          <w:sz w:val="22"/>
          <w:szCs w:val="22"/>
        </w:rPr>
        <w:t xml:space="preserve"> Mayo Clinic previously consulted on hospital development; BIH’s April 2025 partner announcement names Icon for cancer services and SingHealth for continuing medical education.</w:t>
      </w:r>
      <w:hyperlink r:id="rId18">
        <w:r>
          <w:rPr>
            <w:rFonts w:ascii="Arial" w:hAnsi="Arial" w:eastAsia="Arial" w:cs="Arial"/>
            <w:vertAlign w:val="superscript"/>
            <w:color w:val="DC1E34"/>
            <w:sz w:val="16"/>
            <w:szCs w:val="16"/>
          </w:rPr>
          <w:t xml:space="preserve">7,</w:t>
        </w:r>
      </w:hyperlink>
      <w:hyperlink r:id="rId65">
        <w:r>
          <w:rPr>
            <w:rFonts w:ascii="Arial" w:hAnsi="Arial" w:eastAsia="Arial" w:cs="Arial"/>
            <w:vertAlign w:val="superscript"/>
            <w:color w:val="DC1E34"/>
            <w:sz w:val="16"/>
            <w:szCs w:val="16"/>
          </w:rPr>
          <w:t xml:space="preserve">54</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2025-08-27  Mayapada and Apollo break ground on 250-bed international hospital in Batam</w:t>
      </w:r>
    </w:p>
    <w:p>
      <w:pPr>
        <w:keepLines/>
        <w:widowControl/>
        <w:spacing w:before="0" w:after="260" w:line="288" w:lineRule="exact"/>
        <w:ind w:left="0" w:firstLine="0" w:right="0"/>
        <w:jc w:val="left"/>
      </w:pPr>
      <w:r>
        <w:rPr>
          <w:rFonts w:ascii="Arial" w:hAnsi="Arial" w:eastAsia="Arial" w:cs="Arial"/>
          <w:color w:val="282829"/>
          <w:sz w:val="22"/>
          <w:szCs w:val="22"/>
        </w:rPr>
        <w:t>Mayapada Healthcare began building a Rp 1 trillion, 250-bed hospital in Batam's health special economic zone in partnership with Apollo Hospitals India, with full operations targeted for the end of 2027.</w:t>
      </w:r>
      <w:hyperlink r:id="rId52">
        <w:r>
          <w:rPr>
            <w:rFonts w:ascii="Arial" w:hAnsi="Arial" w:eastAsia="Arial" w:cs="Arial"/>
            <w:vertAlign w:val="superscript"/>
            <w:color w:val="DC1E34"/>
            <w:sz w:val="16"/>
            <w:szCs w:val="16"/>
          </w:rPr>
          <w:t xml:space="preserve">38</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2026-06-09  BPJS Kesehatan warns it could miss claim payments from July 2027</w:t>
      </w:r>
    </w:p>
    <w:p>
      <w:pPr>
        <w:keepLines/>
        <w:widowControl/>
        <w:spacing w:before="0" w:after="260" w:line="288" w:lineRule="exact"/>
        <w:ind w:left="0" w:firstLine="0" w:right="0"/>
        <w:jc w:val="left"/>
      </w:pPr>
      <w:r>
        <w:rPr>
          <w:rFonts w:ascii="Arial" w:hAnsi="Arial" w:eastAsia="Arial" w:cs="Arial"/>
          <w:color w:val="282829"/>
          <w:sz w:val="22"/>
          <w:szCs w:val="22"/>
        </w:rPr>
        <w:t>The insurer said it is running monthly deficits of about Rp 2 trillion and expects a Rp 20 trillion government capital injection.</w:t>
      </w:r>
      <w:hyperlink r:id="rId35">
        <w:r>
          <w:rPr>
            <w:rFonts w:ascii="Arial" w:hAnsi="Arial" w:eastAsia="Arial" w:cs="Arial"/>
            <w:vertAlign w:val="superscript"/>
            <w:color w:val="DC1E34"/>
            <w:sz w:val="16"/>
            <w:szCs w:val="16"/>
          </w:rPr>
          <w:t xml:space="preserve">31</w:t>
        </w:r>
      </w:hyperlink>
      <w:r>
        <w:rPr>
          <w:rFonts w:ascii="Arial" w:hAnsi="Arial" w:eastAsia="Arial" w:cs="Arial"/>
          <w:color w:val="282829"/>
          <w:sz w:val="22"/>
          <w:szCs w:val="22"/>
        </w:rPr>
        <w:t xml:space="preserve"> The JKN fund's 2025 deficit was Rp 17.13 trillion, up 123.8 percent from 2024.</w:t>
      </w:r>
      <w:hyperlink r:id="rId36">
        <w:r>
          <w:rPr>
            <w:rFonts w:ascii="Arial" w:hAnsi="Arial" w:eastAsia="Arial" w:cs="Arial"/>
            <w:vertAlign w:val="superscript"/>
            <w:color w:val="DC1E34"/>
            <w:sz w:val="16"/>
            <w:szCs w:val="16"/>
          </w:rPr>
          <w:t xml:space="preserve">45</w:t>
        </w:r>
      </w:hyperlink>
    </w:p>
    <w:p>
      <w:pPr>
        <w:keepNext/>
        <w:widowControl/>
        <w:spacing w:before="180" w:after="120" w:line="280" w:lineRule="exact"/>
        <w:ind w:left="0" w:firstLine="0" w:right="0"/>
        <w:jc w:val="left"/>
      </w:pPr>
      <w:r>
        <w:rPr>
          <w:rFonts w:ascii="Arial" w:hAnsi="Arial" w:eastAsia="Arial" w:cs="Arial"/>
          <w:color w:val="DC1E34"/>
          <w:sz w:val="22"/>
          <w:szCs w:val="22"/>
          <w:b w:val="1"/>
        </w:rPr>
        <w:t>2026-08-14  2027 draft budget holds health at Rp 244.9 trillion and funds puskesmas renovation</w:t>
      </w:r>
    </w:p>
    <w:p>
      <w:pPr>
        <w:keepLines/>
        <w:widowControl/>
        <w:spacing w:before="0" w:after="260" w:line="288" w:lineRule="exact"/>
        <w:ind w:left="0" w:firstLine="0" w:right="0"/>
        <w:jc w:val="left"/>
      </w:pPr>
      <w:r>
        <w:rPr>
          <w:rFonts w:ascii="Arial" w:hAnsi="Arial" w:eastAsia="Arial" w:cs="Arial"/>
          <w:color w:val="282829"/>
          <w:sz w:val="22"/>
          <w:szCs w:val="22"/>
        </w:rPr>
        <w:t>The draft health budget is up 1.7 percent on the 2026 outlook of Rp 240.8 trillion.</w:t>
      </w:r>
      <w:hyperlink r:id="rId34">
        <w:r>
          <w:rPr>
            <w:rFonts w:ascii="Arial" w:hAnsi="Arial" w:eastAsia="Arial" w:cs="Arial"/>
            <w:vertAlign w:val="superscript"/>
            <w:color w:val="DC1E34"/>
            <w:sz w:val="16"/>
            <w:szCs w:val="16"/>
          </w:rPr>
          <w:t xml:space="preserve">35</w:t>
        </w:r>
      </w:hyperlink>
      <w:r>
        <w:rPr>
          <w:rFonts w:ascii="Arial" w:hAnsi="Arial" w:eastAsia="Arial" w:cs="Arial"/>
          <w:color w:val="282829"/>
          <w:sz w:val="22"/>
          <w:szCs w:val="22"/>
        </w:rPr>
        <w:t xml:space="preserve"> President Prabowo said 10,000 puskesmas in 7,285 sub-districts would be renovated from 2027 and 514 public health laboratories built by 2030.</w:t>
      </w:r>
      <w:hyperlink r:id="rId34">
        <w:r>
          <w:rPr>
            <w:rFonts w:ascii="Arial" w:hAnsi="Arial" w:eastAsia="Arial" w:cs="Arial"/>
            <w:vertAlign w:val="superscript"/>
            <w:color w:val="DC1E34"/>
            <w:sz w:val="16"/>
            <w:szCs w:val="16"/>
          </w:rPr>
          <w:t xml:space="preserve">35</w:t>
        </w:r>
      </w:hyperlink>
    </w:p>
    <w:p>
      <w:pPr>
        <w:pStyle w:val="Heading1"/>
        <w:keepNext/>
        <w:keepLines/>
        <w:widowControl/>
        <w:spacing w:before="0" w:after="260" w:line="500" w:lineRule="exact"/>
        <w:ind w:left="0" w:firstLine="0" w:right="0"/>
        <w:jc w:val="left"/>
      </w:pPr>
      <w:bookmarkStart w:id="1194" w:name="assessment"/>
      <w:r>
        <w:rPr>
          <w:rFonts w:ascii="Arial" w:hAnsi="Arial" w:eastAsia="Arial" w:cs="Arial"/>
          <w:color w:val="DC1E34"/>
          <w:sz w:val="42"/>
          <w:szCs w:val="42"/>
          <w:b w:val="1"/>
        </w:rPr>
        <w:t>CSI assessment</w:t>
      </w:r>
      <w:bookmarkEnd w:id="1194"/>
    </w:p>
    <w:p>
      <w:pPr>
        <w:keepLines/>
        <w:widowControl/>
        <w:spacing w:before="0" w:after="160" w:line="228" w:lineRule="exact"/>
        <w:ind w:left="0" w:firstLine="0" w:right="0"/>
        <w:jc w:val="left"/>
      </w:pPr>
      <w:r>
        <w:rPr>
          <w:rFonts w:ascii="Arial" w:hAnsi="Arial" w:eastAsia="Arial" w:cs="Arial"/>
          <w:color w:val="616161"/>
          <w:sz w:val="18"/>
          <w:szCs w:val="18"/>
        </w:rPr>
        <w:t>Everything below comes from Cedars-Sinai's internal data (patient referral records, finance, relationship history) and human judgment, not from the research agents. Fields left blank are marked and must be completed by the analyst before this profile is used.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Patient Volume &amp; Revenue (most recent FY)</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Referral Sources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Relationship History</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Complications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Key Contacts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Opportunities</w:t>
      </w:r>
    </w:p>
    <w:p>
      <w:pPr>
        <w:widowControl/>
        <w:spacing w:before="0" w:after="340" w:line="260" w:lineRule="exact"/>
        <w:ind w:left="0" w:firstLine="0" w:right="0"/>
        <w:jc w:val="left"/>
      </w:pPr>
      <w:r>
        <w:rPr>
          <w:rFonts w:ascii="Arial" w:hAnsi="Arial" w:eastAsia="Arial" w:cs="Arial"/>
          <w:color w:val="616161"/>
          <w:sz w:val="20"/>
          <w:szCs w:val="20"/>
        </w:rPr>
        <w:t>[MANUAL INPUT REQUIRED]</w:t>
      </w:r>
    </w:p>
    <w:p>
      <w:pPr>
        <w:pStyle w:val="Heading2"/>
        <w:keepNext/>
        <w:keepLines/>
        <w:widowControl/>
        <w:spacing w:before="200" w:after="140" w:line="320" w:lineRule="exact"/>
        <w:ind w:left="0" w:firstLine="0" w:right="0"/>
        <w:jc w:val="left"/>
      </w:pPr>
      <w:r>
        <w:rPr>
          <w:rFonts w:ascii="Arial" w:hAnsi="Arial" w:eastAsia="Arial" w:cs="Arial"/>
          <w:color w:val="DC1E34"/>
          <w:sz w:val="25"/>
          <w:szCs w:val="25"/>
          <w:b w:val="1"/>
        </w:rPr>
        <w:t>CSI Recommendation</w:t>
      </w:r>
    </w:p>
    <w:p>
      <w:pPr>
        <w:widowControl/>
        <w:spacing w:before="0" w:after="340" w:line="260" w:lineRule="exact"/>
        <w:ind w:left="0" w:firstLine="0" w:right="0"/>
        <w:jc w:val="left"/>
      </w:pPr>
      <w:r>
        <w:rPr>
          <w:rFonts w:ascii="Arial" w:hAnsi="Arial" w:eastAsia="Arial" w:cs="Arial"/>
          <w:color w:val="616161"/>
          <w:sz w:val="20"/>
          <w:szCs w:val="20"/>
        </w:rPr>
        <w:t>[MANUAL INPUT REQUIRED]</w:t>
      </w:r>
    </w:p>
    <w:sectPr w:rsidR="00FC693F" w:rsidRPr="0006063C" w:rsidSect="00034616">
      <w:headerReference w:type="default" r:id="rId9"/>
      <w:footerReference w:type="default" r:id="rId10"/>
      <w:headerReference w:type="first" r:id="rId111"/>
      <w:headerReference w:type="even" r:id="rId112"/>
      <w:footerReference w:type="first" r:id="rId113"/>
      <w:footerReference w:type="even" r:id="rId114"/>
      <w:pgSz w:w="12240" w:h="15840"/>
      <w:pgMar w:top="979" w:right="1080" w:bottom="979" w:left="1080" w:header="10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tabs>
        <w:tab w:pos="10080" w:val="right"/>
      </w:tabs>
      <w:spacing w:before="0" w:after="0" w:line="200" w:lineRule="exact"/>
      <w:ind w:left="0" w:firstLine="0" w:right="0"/>
      <w:jc w:val="left"/>
    </w:pPr>
    <w:r>
      <w:rPr>
        <w:rFonts w:ascii="Arial" w:hAnsi="Arial" w:eastAsia="Arial" w:cs="Arial"/>
        <w:color w:val="76777A"/>
        <w:sz w:val="15"/>
        <w:szCs w:val="16"/>
      </w:rPr>
      <w:t>Country profile  |  Analyst review draft  |  7 October 2026</w:t>
      <w:tab/>
    </w:r>
    <w:r>
      <w:rPr>
        <w:rFonts w:ascii="Arial" w:hAnsi="Arial" w:eastAsia="Arial" w:cs="Arial"/>
        <w:color w:val="76777A"/>
        <w:sz w:val="15"/>
        <w:szCs w:val="16"/>
      </w:rPr>
      <w:fldChar w:fldCharType="begin"/>
    </w:r>
    <w:r>
      <w:rPr>
        <w:rFonts w:ascii="Arial" w:hAnsi="Arial" w:eastAsia="Arial" w:cs="Arial"/>
        <w:color w:val="76777A"/>
        <w:sz w:val="15"/>
        <w:szCs w:val="16"/>
      </w:rPr>
      <w:instrText xml:space="preserve"> PAGE </w:instrText>
    </w:r>
    <w:r>
      <w:rPr>
        <w:rFonts w:ascii="Arial" w:hAnsi="Arial" w:eastAsia="Arial" w:cs="Arial"/>
        <w:color w:val="76777A"/>
        <w:sz w:val="15"/>
        <w:szCs w:val="16"/>
      </w:rPr>
      <w:fldChar w:fldCharType="separate"/>
    </w:r>
    <w:r>
      <w:rPr>
        <w:rFonts w:ascii="Arial" w:hAnsi="Arial" w:eastAsia="Arial" w:cs="Arial"/>
        <w:color w:val="76777A"/>
        <w:sz w:val="15"/>
        <w:szCs w:val="16"/>
      </w:rPr>
      <w:t>1</w:t>
    </w:r>
    <w:r>
      <w:rPr>
        <w:rFonts w:ascii="Arial" w:hAnsi="Arial" w:eastAsia="Arial" w:cs="Arial"/>
        <w:color w:val="76777A"/>
        <w:sz w:val="15"/>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Indonesia</w:t>
      <w:tab/>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Pr>
    <w:r>
      <w:rPr>
        <w:rFonts w:ascii="Arial" w:hAnsi="Arial"/>
        <w:color w:val="76777A"/>
        <w:sz w:val="15"/>
      </w:rPr>
      <w:t>Cedars-Sinai International | Indonesia</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INDONESIA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INDONESIA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0080" w:val="right"/>
      </w:tabs>
      <w:spacing w:after="0" w:before="0"/>
    </w:pPr>
    <w:r>
      <w:drawing>
        <wp:inline xmlns:a="http://schemas.openxmlformats.org/drawingml/2006/main" xmlns:pic="http://schemas.openxmlformats.org/drawingml/2006/picture">
          <wp:extent cx="1645920" cy="493179"/>
          <wp:docPr id="1" name="Picture 1" descr="Cedars-Sinai International official logo"/>
          <wp:cNvGraphicFramePr>
            <a:graphicFrameLocks noChangeAspect="1"/>
          </wp:cNvGraphicFramePr>
          <a:graphic>
            <a:graphicData uri="http://schemas.openxmlformats.org/drawingml/2006/picture">
              <pic:pic>
                <pic:nvPicPr>
                  <pic:cNvPr id="0" name="csi-international.png"/>
                  <pic:cNvPicPr/>
                </pic:nvPicPr>
                <pic:blipFill>
                  <a:blip r:embed="rId1"/>
                  <a:stretch>
                    <a:fillRect/>
                  </a:stretch>
                </pic:blipFill>
                <pic:spPr>
                  <a:xfrm>
                    <a:off x="0" y="0"/>
                    <a:ext cx="1645920" cy="493179"/>
                  </a:xfrm>
                  <a:prstGeom prst="rect"/>
                </pic:spPr>
              </pic:pic>
            </a:graphicData>
          </a:graphic>
        </wp:inline>
      </w:drawing>
    </w:r>
    <w:r>
      <w:rPr>
        <w:rFonts w:ascii="Arial" w:hAnsi="Arial"/>
        <w:color w:val="76777A"/>
        <w:sz w:val="14"/>
      </w:rPr>
      <w:tab/>
      <w:t>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updateFields w:val="false"/>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ind w:left="0" w:right="0" w:firstLine="0"/>
    </w:pPr>
    <w:rPr>
      <w:rFonts w:ascii="Arial" w:hAnsi="Arial" w:cs="Arial" w:eastAsia="Arial"/>
      <w:color w:val="2828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rPr>
      <w:rFonts w:ascii="Arial" w:hAnsi="Arial" w:cs="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rPr>
      <w:rFonts w:ascii="Arial" w:hAnsi="Arial" w:cs="Arial" w:eastAsia="Arial"/>
    </w:rPr>
  </w:style>
  <w:style w:type="paragraph" w:styleId="Heading1">
    <w:name w:val="heading 1"/>
    <w:basedOn w:val="Normal"/>
    <w:next w:val="Normal"/>
    <w:link w:val="Heading1Char"/>
    <w:uiPriority w:val="9"/>
    <w:qFormat/>
    <w:rsid w:val="00FC693F"/>
    <w:pPr>
      <w:keepNext/>
      <w:keepLines/>
      <w:spacing w:before="0" w:after="140" w:line="276" w:lineRule="auto"/>
      <w:ind w:left="0" w:right="0" w:firstLine="0"/>
      <w:outlineLvl w:val="0"/>
    </w:pPr>
    <w:rPr>
      <w:rFonts w:ascii="Arial" w:hAnsi="Arial" w:eastAsia="Arial" w:cs="Arial"/>
      <w:b/>
      <w:bCs/>
      <w:color w:val="DC1E34"/>
      <w:sz w:val="42"/>
      <w:szCs w:val="28"/>
    </w:rPr>
  </w:style>
  <w:style w:type="paragraph" w:styleId="Heading2">
    <w:name w:val="heading 2"/>
    <w:basedOn w:val="Normal"/>
    <w:next w:val="Normal"/>
    <w:link w:val="Heading2Char"/>
    <w:uiPriority w:val="9"/>
    <w:unhideWhenUsed/>
    <w:qFormat/>
    <w:rsid w:val="00FC693F"/>
    <w:pPr>
      <w:keepNext/>
      <w:keepLines/>
      <w:spacing w:before="0" w:after="140" w:line="276" w:lineRule="auto"/>
      <w:ind w:left="0" w:right="0" w:firstLine="0"/>
      <w:outlineLvl w:val="1"/>
    </w:pPr>
    <w:rPr>
      <w:rFonts w:ascii="Arial" w:hAnsi="Arial" w:eastAsia="Arial" w:cs="Arial"/>
      <w:b/>
      <w:bCs/>
      <w:color w:val="DC1E34"/>
      <w:sz w:val="25"/>
      <w:szCs w:val="26"/>
    </w:rPr>
  </w:style>
  <w:style w:type="paragraph" w:styleId="Heading3">
    <w:name w:val="heading 3"/>
    <w:basedOn w:val="Normal"/>
    <w:next w:val="Normal"/>
    <w:link w:val="Heading3Char"/>
    <w:uiPriority w:val="9"/>
    <w:unhideWhenUsed/>
    <w:qFormat/>
    <w:rsid w:val="00FC693F"/>
    <w:pPr>
      <w:keepNext/>
      <w:keepLines/>
      <w:spacing w:before="0" w:after="140" w:line="276" w:lineRule="auto"/>
      <w:ind w:left="0" w:right="0" w:firstLine="0"/>
      <w:outlineLvl w:val="2"/>
    </w:pPr>
    <w:rPr>
      <w:rFonts w:ascii="Arial" w:hAnsi="Arial" w:eastAsia="Arial" w:cs="Arial"/>
      <w:b/>
      <w:bCs/>
      <w:color w:val="DC1E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DC1E3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DC1E3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DC1E3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DC1E3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DC1E34"/>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DC1E34"/>
      <w:sz w:val="20"/>
      <w:szCs w:val="20"/>
    </w:rPr>
  </w:style>
  <w:style w:type="character" w:default="1" w:styleId="DefaultParagraphFont">
    <w:name w:val="Default Paragraph Font"/>
    <w:uiPriority w:val="1"/>
    <w:semiHidden/>
    <w:unhideWhenUsed/>
    <w:rPr>
      <w:rFonts w:ascii="Arial" w:hAnsi="Arial" w:cs="Arial" w:eastAsia="Arial"/>
    </w:rPr>
  </w:style>
  <w:style w:type="table" w:default="1" w:styleId="TableNormal">
    <w:name w:val="Normal Table"/>
    <w:uiPriority w:val="99"/>
    <w:semiHidden/>
    <w:unhideWhenUsed/>
    <w:rPr>
      <w:rFonts w:ascii="Arial" w:hAnsi="Arial" w:cs="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rPr>
  </w:style>
  <w:style w:type="character" w:customStyle="1" w:styleId="Heading1Char">
    <w:name w:val="Heading 1 Char"/>
    <w:basedOn w:val="DefaultParagraphFont"/>
    <w:link w:val="Heading1"/>
    <w:uiPriority w:val="9"/>
    <w:rsid w:val="00FC693F"/>
    <w:rPr>
      <w:rFonts w:ascii="Arial" w:hAnsi="Arial" w:eastAsia="Arial" w:cs="Arial"/>
      <w:b/>
      <w:bCs/>
      <w:color w:val="DC1E34"/>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DC1E34"/>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DC1E34"/>
    </w:rPr>
  </w:style>
  <w:style w:type="paragraph" w:styleId="Title">
    <w:name w:val="Title"/>
    <w:basedOn w:val="Normal"/>
    <w:next w:val="Normal"/>
    <w:link w:val="TitleChar"/>
    <w:uiPriority w:val="10"/>
    <w:qFormat/>
    <w:rsid w:val="00FC693F"/>
    <w:pPr>
      <w:spacing w:after="140" w:line="276" w:lineRule="auto" w:before="0"/>
      <w:ind w:left="0" w:right="0" w:firstLine="0"/>
      <w:contextualSpacing/>
    </w:pPr>
    <w:rPr>
      <w:rFonts w:ascii="Arial" w:hAnsi="Arial" w:eastAsia="Arial" w:cs="Arial"/>
      <w:color w:val="DC1E34"/>
      <w:spacing w:val="5"/>
      <w:kern w:val="28"/>
      <w:sz w:val="60"/>
      <w:szCs w:val="52"/>
    </w:rPr>
  </w:style>
  <w:style w:type="character" w:customStyle="1" w:styleId="TitleChar">
    <w:name w:val="Title Char"/>
    <w:basedOn w:val="DefaultParagraphFont"/>
    <w:link w:val="Title"/>
    <w:uiPriority w:val="10"/>
    <w:rsid w:val="00FC693F"/>
    <w:rPr>
      <w:rFonts w:ascii="Arial" w:hAnsi="Arial" w:eastAsia="Arial" w:cs="Arial"/>
      <w:color w:val="DC1E34"/>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line="276" w:lineRule="auto"/>
      <w:ind w:left="0" w:right="0" w:firstLine="0"/>
    </w:pPr>
    <w:rPr>
      <w:rFonts w:ascii="Arial" w:hAnsi="Arial" w:eastAsia="Arial" w:cs="Arial"/>
      <w:i/>
      <w:iCs/>
      <w:color w:val="61616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282829"/>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rPr>
      <w:rFonts w:ascii="Arial" w:hAnsi="Arial" w:cs="Arial" w:eastAsia="Arial"/>
    </w:rPr>
  </w:style>
  <w:style w:type="character" w:customStyle="1" w:styleId="BodyTextChar">
    <w:name w:val="Body Text Char"/>
    <w:basedOn w:val="DefaultParagraphFont"/>
    <w:link w:val="BodyText"/>
    <w:uiPriority w:val="99"/>
    <w:rsid w:val="00AA1D8D"/>
    <w:rPr>
      <w:rFonts w:ascii="Arial" w:hAnsi="Arial" w:cs="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rPr>
  </w:style>
  <w:style w:type="character" w:customStyle="1" w:styleId="BodyText2Char">
    <w:name w:val="Body Text 2 Char"/>
    <w:basedOn w:val="DefaultParagraphFont"/>
    <w:link w:val="BodyText2"/>
    <w:uiPriority w:val="99"/>
    <w:rsid w:val="00AA1D8D"/>
    <w:rPr>
      <w:rFonts w:ascii="Arial" w:hAnsi="Arial" w:cs="Arial" w:eastAsia="Arial"/>
    </w:rPr>
  </w:style>
  <w:style w:type="paragraph" w:styleId="BodyText3">
    <w:name w:val="Body Text 3"/>
    <w:basedOn w:val="Normal"/>
    <w:link w:val="BodyText3Char"/>
    <w:uiPriority w:val="99"/>
    <w:unhideWhenUsed/>
    <w:rsid w:val="00AA1D8D"/>
    <w:pPr>
      <w:spacing w:after="120"/>
    </w:pPr>
    <w:rPr>
      <w:rFonts w:ascii="Arial" w:hAnsi="Arial" w:cs="Arial" w:eastAsia="Arial"/>
      <w:sz w:val="16"/>
      <w:szCs w:val="16"/>
    </w:rPr>
  </w:style>
  <w:style w:type="character" w:customStyle="1" w:styleId="BodyText3Char">
    <w:name w:val="Body Text 3 Char"/>
    <w:basedOn w:val="DefaultParagraphFont"/>
    <w:link w:val="BodyText3"/>
    <w:uiPriority w:val="99"/>
    <w:rsid w:val="00AA1D8D"/>
    <w:rPr>
      <w:rFonts w:ascii="Arial" w:hAnsi="Arial" w:cs="Arial" w:eastAsia="Arial"/>
      <w:sz w:val="16"/>
      <w:szCs w:val="16"/>
    </w:rPr>
  </w:style>
  <w:style w:type="paragraph" w:styleId="List">
    <w:name w:val="List"/>
    <w:basedOn w:val="Normal"/>
    <w:uiPriority w:val="99"/>
    <w:unhideWhenUsed/>
    <w:rsid w:val="00AA1D8D"/>
    <w:pPr>
      <w:ind w:left="360" w:hanging="360"/>
      <w:contextualSpacing/>
    </w:pPr>
    <w:rPr>
      <w:rFonts w:ascii="Arial" w:hAnsi="Arial" w:cs="Arial" w:eastAsia="Arial"/>
    </w:rPr>
  </w:style>
  <w:style w:type="paragraph" w:styleId="List2">
    <w:name w:val="List 2"/>
    <w:basedOn w:val="Normal"/>
    <w:uiPriority w:val="99"/>
    <w:unhideWhenUsed/>
    <w:rsid w:val="00326F90"/>
    <w:pPr>
      <w:ind w:left="720" w:hanging="360"/>
      <w:contextualSpacing/>
    </w:pPr>
    <w:rPr>
      <w:rFonts w:ascii="Arial" w:hAnsi="Arial" w:cs="Arial" w:eastAsia="Arial"/>
    </w:rPr>
  </w:style>
  <w:style w:type="paragraph" w:styleId="List3">
    <w:name w:val="List 3"/>
    <w:basedOn w:val="Normal"/>
    <w:uiPriority w:val="99"/>
    <w:unhideWhenUsed/>
    <w:rsid w:val="00326F90"/>
    <w:pPr>
      <w:ind w:left="1080" w:hanging="360"/>
      <w:contextualSpacing/>
    </w:pPr>
    <w:rPr>
      <w:rFonts w:ascii="Arial" w:hAnsi="Arial" w:cs="Arial" w:eastAsia="Arial"/>
    </w:r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rPr>
      <w:rFonts w:ascii="Arial" w:hAnsi="Arial" w:cs="Arial" w:eastAsia="Arial"/>
    </w:r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rPr>
      <w:rFonts w:ascii="Arial" w:hAnsi="Arial" w:cs="Arial" w:eastAsia="Arial"/>
    </w:rPr>
  </w:style>
  <w:style w:type="paragraph" w:styleId="ListContinue">
    <w:name w:val="List Continue"/>
    <w:basedOn w:val="Normal"/>
    <w:uiPriority w:val="99"/>
    <w:unhideWhenUsed/>
    <w:rsid w:val="0029639D"/>
    <w:pPr>
      <w:spacing w:after="120"/>
      <w:ind w:left="360"/>
      <w:contextualSpacing/>
    </w:pPr>
    <w:rPr>
      <w:rFonts w:ascii="Arial" w:hAnsi="Arial" w:cs="Arial" w:eastAsia="Arial"/>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cs="Arial" w:eastAsia="Arial"/>
      <w:i/>
      <w:iCs/>
      <w:color w:val="282829"/>
    </w:rPr>
  </w:style>
  <w:style w:type="character" w:customStyle="1" w:styleId="QuoteChar">
    <w:name w:val="Quote Char"/>
    <w:basedOn w:val="DefaultParagraphFont"/>
    <w:link w:val="Quote"/>
    <w:uiPriority w:val="29"/>
    <w:rsid w:val="00FC693F"/>
    <w:rPr>
      <w:rFonts w:ascii="Arial" w:hAnsi="Arial" w:cs="Arial" w:eastAsia="Arial"/>
      <w:i/>
      <w:iCs/>
      <w:color w:val="282829"/>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DC1E34"/>
    </w:rPr>
  </w:style>
  <w:style w:type="character" w:customStyle="1" w:styleId="Heading5Char">
    <w:name w:val="Heading 5 Char"/>
    <w:basedOn w:val="DefaultParagraphFont"/>
    <w:link w:val="Heading5"/>
    <w:uiPriority w:val="9"/>
    <w:semiHidden/>
    <w:rsid w:val="00FC693F"/>
    <w:rPr>
      <w:rFonts w:ascii="Arial" w:hAnsi="Arial" w:eastAsia="Arial" w:cs="Arial"/>
      <w:color w:val="DC1E34"/>
    </w:rPr>
  </w:style>
  <w:style w:type="character" w:customStyle="1" w:styleId="Heading6Char">
    <w:name w:val="Heading 6 Char"/>
    <w:basedOn w:val="DefaultParagraphFont"/>
    <w:link w:val="Heading6"/>
    <w:uiPriority w:val="9"/>
    <w:semiHidden/>
    <w:rsid w:val="00FC693F"/>
    <w:rPr>
      <w:rFonts w:ascii="Arial" w:hAnsi="Arial" w:eastAsia="Arial" w:cs="Arial"/>
      <w:i/>
      <w:iCs/>
      <w:color w:val="DC1E34"/>
    </w:rPr>
  </w:style>
  <w:style w:type="character" w:customStyle="1" w:styleId="Heading7Char">
    <w:name w:val="Heading 7 Char"/>
    <w:basedOn w:val="DefaultParagraphFont"/>
    <w:link w:val="Heading7"/>
    <w:uiPriority w:val="9"/>
    <w:semiHidden/>
    <w:rsid w:val="00FC693F"/>
    <w:rPr>
      <w:rFonts w:ascii="Arial" w:hAnsi="Arial" w:eastAsia="Arial" w:cs="Arial"/>
      <w:i/>
      <w:iCs/>
      <w:color w:val="DC1E34"/>
    </w:rPr>
  </w:style>
  <w:style w:type="character" w:customStyle="1" w:styleId="Heading8Char">
    <w:name w:val="Heading 8 Char"/>
    <w:basedOn w:val="DefaultParagraphFont"/>
    <w:link w:val="Heading8"/>
    <w:uiPriority w:val="9"/>
    <w:semiHidden/>
    <w:rsid w:val="00FC693F"/>
    <w:rPr>
      <w:rFonts w:ascii="Arial" w:hAnsi="Arial" w:eastAsia="Arial" w:cs="Arial"/>
      <w:color w:val="DC1E34"/>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DC1E34"/>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82829"/>
      <w:sz w:val="18"/>
      <w:szCs w:val="18"/>
    </w:rPr>
  </w:style>
  <w:style w:type="character" w:styleId="Strong">
    <w:name w:val="Strong"/>
    <w:basedOn w:val="DefaultParagraphFont"/>
    <w:uiPriority w:val="22"/>
    <w:qFormat/>
    <w:rsid w:val="00FC693F"/>
    <w:rPr>
      <w:rFonts w:ascii="Arial" w:hAnsi="Arial" w:cs="Arial" w:eastAsia="Arial"/>
      <w:b/>
      <w:bCs/>
    </w:rPr>
  </w:style>
  <w:style w:type="character" w:styleId="Emphasis">
    <w:name w:val="Emphasis"/>
    <w:basedOn w:val="DefaultParagraphFont"/>
    <w:uiPriority w:val="20"/>
    <w:qFormat/>
    <w:rsid w:val="00FC693F"/>
    <w:rPr>
      <w:rFonts w:ascii="Arial" w:hAnsi="Arial" w:cs="Arial" w:eastAsia="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cs="Arial" w:eastAsia="Arial"/>
      <w:b/>
      <w:bCs/>
      <w:i/>
      <w:iCs/>
      <w:color w:val="282829"/>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82829"/>
    </w:rPr>
  </w:style>
  <w:style w:type="character" w:styleId="SubtleEmphasis">
    <w:name w:val="Subtle Emphasis"/>
    <w:basedOn w:val="DefaultParagraphFont"/>
    <w:uiPriority w:val="19"/>
    <w:qFormat/>
    <w:rsid w:val="00FC693F"/>
    <w:rPr>
      <w:rFonts w:ascii="Arial" w:hAnsi="Arial" w:cs="Arial" w:eastAsia="Arial"/>
      <w:i/>
      <w:iCs/>
      <w:color w:val="282829"/>
    </w:rPr>
  </w:style>
  <w:style w:type="character" w:styleId="IntenseEmphasis">
    <w:name w:val="Intense Emphasis"/>
    <w:basedOn w:val="DefaultParagraphFont"/>
    <w:uiPriority w:val="21"/>
    <w:qFormat/>
    <w:rsid w:val="00FC693F"/>
    <w:rPr>
      <w:rFonts w:ascii="Arial" w:hAnsi="Arial" w:cs="Arial" w:eastAsia="Arial"/>
      <w:b/>
      <w:bCs/>
      <w:i/>
      <w:iCs/>
      <w:color w:val="282829"/>
    </w:rPr>
  </w:style>
  <w:style w:type="character" w:styleId="SubtleReference">
    <w:name w:val="Subtle Reference"/>
    <w:basedOn w:val="DefaultParagraphFont"/>
    <w:uiPriority w:val="31"/>
    <w:qFormat/>
    <w:rsid w:val="00FC693F"/>
    <w:rPr>
      <w:rFonts w:ascii="Arial" w:hAnsi="Arial" w:cs="Arial" w:eastAsia="Arial"/>
      <w:smallCaps/>
      <w:color w:val="282829"/>
      <w:u w:val="single"/>
    </w:rPr>
  </w:style>
  <w:style w:type="character" w:styleId="IntenseReference">
    <w:name w:val="Intense Reference"/>
    <w:basedOn w:val="DefaultParagraphFont"/>
    <w:uiPriority w:val="32"/>
    <w:qFormat/>
    <w:rsid w:val="00FC693F"/>
    <w:rPr>
      <w:rFonts w:ascii="Arial" w:hAnsi="Arial" w:cs="Arial" w:eastAsia="Arial"/>
      <w:b/>
      <w:bCs/>
      <w:smallCaps/>
      <w:color w:val="282829"/>
      <w:spacing w:val="5"/>
      <w:u w:val="single"/>
    </w:rPr>
  </w:style>
  <w:style w:type="character" w:styleId="BookTitle">
    <w:name w:val="Book Title"/>
    <w:basedOn w:val="DefaultParagraphFont"/>
    <w:uiPriority w:val="33"/>
    <w:qFormat/>
    <w:rsid w:val="00FC693F"/>
    <w:rPr>
      <w:rFonts w:ascii="Arial" w:hAnsi="Arial" w:cs="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r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8282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282829"/>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282829"/>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282829"/>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282829"/>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282829"/>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282829"/>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282829"/>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282829"/>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282829"/>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282829"/>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282829"/>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282829"/>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282829"/>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282829"/>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282829"/>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282829"/>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282829"/>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282829"/>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8282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282829"/>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282829"/>
      </w:rPr>
      <w:tblPr/>
      <w:tcPr>
        <w:shd w:val="clear" w:color="auto" w:fill="E6E6E6" w:themeFill="text1"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282829"/>
      </w:rPr>
      <w:tblPr/>
      <w:tcPr>
        <w:shd w:val="clear" w:color="auto" w:fill="EDF2F8" w:themeFill="accent1"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282829"/>
      </w:rPr>
      <w:tblPr/>
      <w:tcPr>
        <w:shd w:val="clear" w:color="auto" w:fill="F8EDED" w:themeFill="accent2"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282829"/>
      </w:rPr>
      <w:tblPr/>
      <w:tcPr>
        <w:shd w:val="clear" w:color="auto" w:fill="F5F8EE" w:themeFill="accent3"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282829"/>
      </w:rPr>
      <w:tblPr/>
      <w:tcPr>
        <w:shd w:val="clear" w:color="auto" w:fill="F2EFF6" w:themeFill="accent4"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282829"/>
      </w:rPr>
      <w:tblPr/>
      <w:tcPr>
        <w:shd w:val="clear" w:color="auto" w:fill="EDF6F9" w:themeFill="accent5"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28282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282829"/>
      </w:rPr>
      <w:tblPr/>
      <w:tcPr>
        <w:shd w:val="clear" w:color="auto" w:fill="FEF4EC" w:themeFill="accent6" w:themeFillTint="19"/>
      </w:tcPr>
    </w:tblStylePr>
    <w:tblStylePr w:type="lastRow">
      <w:rPr>
        <w:b/>
        <w:bCs/>
        <w:color w:val="282829"/>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282829"/>
      </w:rPr>
      <w:tblPr/>
      <w:tcPr>
        <w:tcBorders>
          <w:top w:val="nil"/>
          <w:left w:val="nil"/>
          <w:bottom w:val="nil"/>
          <w:right w:val="nil"/>
          <w:insideH w:val="nil"/>
          <w:insideV w:val="nil"/>
        </w:tcBorders>
        <w:shd w:val="clear" w:color="auto" w:fill="FFFFFF" w:themeFill="background1"/>
      </w:tcPr>
    </w:tblStylePr>
    <w:tblStylePr w:type="lastCol">
      <w:rPr>
        <w:b w:val="0"/>
        <w:bCs w:val="0"/>
        <w:color w:val="282829"/>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282829"/>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282829"/>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282829"/>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282829"/>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000000" w:themeFill="text1" w:themeFillShade="99"/>
      </w:tcPr>
    </w:tblStylePr>
    <w:tblStylePr w:type="firstCol">
      <w:rPr>
        <w:color w:val="282829"/>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282829"/>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282829"/>
      </w:rPr>
    </w:tblStylePr>
    <w:tblStylePr w:type="nwCell">
      <w:rPr>
        <w:color w:val="282829"/>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2C4C74" w:themeFill="accent1" w:themeFillShade="99"/>
      </w:tcPr>
    </w:tblStylePr>
    <w:tblStylePr w:type="firstCol">
      <w:rPr>
        <w:color w:val="282829"/>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282829"/>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282829"/>
      </w:rPr>
    </w:tblStylePr>
    <w:tblStylePr w:type="nwCell">
      <w:rPr>
        <w:color w:val="282829"/>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772C2A" w:themeFill="accent2" w:themeFillShade="99"/>
      </w:tcPr>
    </w:tblStylePr>
    <w:tblStylePr w:type="firstCol">
      <w:rPr>
        <w:color w:val="282829"/>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282829"/>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282829"/>
      </w:rPr>
    </w:tblStylePr>
    <w:tblStylePr w:type="nwCell">
      <w:rPr>
        <w:color w:val="282829"/>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5E7530" w:themeFill="accent3" w:themeFillShade="99"/>
      </w:tcPr>
    </w:tblStylePr>
    <w:tblStylePr w:type="firstCol">
      <w:rPr>
        <w:color w:val="282829"/>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282829"/>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4C3B62" w:themeFill="accent4" w:themeFillShade="99"/>
      </w:tcPr>
    </w:tblStylePr>
    <w:tblStylePr w:type="firstCol">
      <w:rPr>
        <w:color w:val="282829"/>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282829"/>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282829"/>
      </w:rPr>
    </w:tblStylePr>
    <w:tblStylePr w:type="nwCell">
      <w:rPr>
        <w:color w:val="282829"/>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276A7C" w:themeFill="accent5" w:themeFillShade="99"/>
      </w:tcPr>
    </w:tblStylePr>
    <w:tblStylePr w:type="firstCol">
      <w:rPr>
        <w:color w:val="282829"/>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282829"/>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282829"/>
      </w:rPr>
    </w:tblStylePr>
    <w:tblStylePr w:type="nwCell">
      <w:rPr>
        <w:color w:val="282829"/>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8282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282829"/>
      </w:rPr>
      <w:tblPr/>
      <w:tcPr>
        <w:tcBorders>
          <w:top w:val="single" w:sz="6" w:space="0" w:color="FFFFFF" w:themeColor="background1"/>
        </w:tcBorders>
        <w:shd w:val="clear" w:color="auto" w:fill="B65608" w:themeFill="accent6" w:themeFillShade="99"/>
      </w:tcPr>
    </w:tblStylePr>
    <w:tblStylePr w:type="firstCol">
      <w:rPr>
        <w:color w:val="282829"/>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282829"/>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282829"/>
      </w:rPr>
    </w:tblStylePr>
    <w:tblStylePr w:type="nwCell">
      <w:rPr>
        <w:color w:val="282829"/>
      </w:rPr>
    </w:tblStylePr>
  </w:style>
  <w:style w:type="table" w:styleId="ColorfulList">
    <w:name w:val="Colorful List"/>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282829"/>
      </w:rPr>
      <w:tblPr/>
      <w:tcPr>
        <w:tcBorders>
          <w:bottom w:val="single" w:sz="12" w:space="0" w:color="FFFFFF" w:themeColor="background1"/>
        </w:tcBorders>
        <w:shd w:val="clear" w:color="auto" w:fill="9E3A38" w:themeFill="accent2"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282829"/>
      </w:rPr>
      <w:tblPr/>
      <w:tcPr>
        <w:tcBorders>
          <w:bottom w:val="single" w:sz="12" w:space="0" w:color="FFFFFF" w:themeColor="background1"/>
        </w:tcBorders>
        <w:shd w:val="clear" w:color="auto" w:fill="9E3A38" w:themeFill="accent2"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282829"/>
      </w:rPr>
      <w:tblPr/>
      <w:tcPr>
        <w:tcBorders>
          <w:bottom w:val="single" w:sz="12" w:space="0" w:color="FFFFFF" w:themeColor="background1"/>
        </w:tcBorders>
        <w:shd w:val="clear" w:color="auto" w:fill="9E3A38" w:themeFill="accent2"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282829"/>
      </w:rPr>
      <w:tblPr/>
      <w:tcPr>
        <w:tcBorders>
          <w:bottom w:val="single" w:sz="12" w:space="0" w:color="FFFFFF" w:themeColor="background1"/>
        </w:tcBorders>
        <w:shd w:val="clear" w:color="auto" w:fill="664E82" w:themeFill="accent4"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282829"/>
      </w:rPr>
      <w:tblPr/>
      <w:tcPr>
        <w:tcBorders>
          <w:bottom w:val="single" w:sz="12" w:space="0" w:color="FFFFFF" w:themeColor="background1"/>
        </w:tcBorders>
        <w:shd w:val="clear" w:color="auto" w:fill="7E9C40" w:themeFill="accent3"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282829"/>
      </w:rPr>
      <w:tblPr/>
      <w:tcPr>
        <w:tcBorders>
          <w:bottom w:val="single" w:sz="12" w:space="0" w:color="FFFFFF" w:themeColor="background1"/>
        </w:tcBorders>
        <w:shd w:val="clear" w:color="auto" w:fill="F2730A" w:themeFill="accent6"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8282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282829"/>
      </w:rPr>
      <w:tblPr/>
      <w:tcPr>
        <w:tcBorders>
          <w:bottom w:val="single" w:sz="12" w:space="0" w:color="FFFFFF" w:themeColor="background1"/>
        </w:tcBorders>
        <w:shd w:val="clear" w:color="auto" w:fill="348DA5" w:themeFill="accent5" w:themeFillShade="CC"/>
      </w:tcPr>
    </w:tblStylePr>
    <w:tblStylePr w:type="lastRow">
      <w:rPr>
        <w:b/>
        <w:bCs/>
        <w:color w:val="282829"/>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282829"/>
      </w:rPr>
      <w:tblPr/>
      <w:tcPr>
        <w:shd w:val="clear" w:color="auto" w:fill="999999" w:themeFill="text1" w:themeFillTint="66"/>
      </w:tcPr>
    </w:tblStylePr>
    <w:tblStylePr w:type="firstCol">
      <w:rPr>
        <w:color w:val="282829"/>
      </w:rPr>
      <w:tblPr/>
      <w:tcPr>
        <w:shd w:val="clear" w:color="auto" w:fill="000000" w:themeFill="text1" w:themeFillShade="BF"/>
      </w:tcPr>
    </w:tblStylePr>
    <w:tblStylePr w:type="lastCol">
      <w:rPr>
        <w:color w:val="282829"/>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282829"/>
      </w:rPr>
      <w:tblPr/>
      <w:tcPr>
        <w:shd w:val="clear" w:color="auto" w:fill="B8CCE4" w:themeFill="accent1" w:themeFillTint="66"/>
      </w:tcPr>
    </w:tblStylePr>
    <w:tblStylePr w:type="firstCol">
      <w:rPr>
        <w:color w:val="282829"/>
      </w:rPr>
      <w:tblPr/>
      <w:tcPr>
        <w:shd w:val="clear" w:color="auto" w:fill="365F91" w:themeFill="accent1" w:themeFillShade="BF"/>
      </w:tcPr>
    </w:tblStylePr>
    <w:tblStylePr w:type="lastCol">
      <w:rPr>
        <w:color w:val="282829"/>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282829"/>
      </w:rPr>
      <w:tblPr/>
      <w:tcPr>
        <w:shd w:val="clear" w:color="auto" w:fill="E5B8B7" w:themeFill="accent2" w:themeFillTint="66"/>
      </w:tcPr>
    </w:tblStylePr>
    <w:tblStylePr w:type="firstCol">
      <w:rPr>
        <w:color w:val="282829"/>
      </w:rPr>
      <w:tblPr/>
      <w:tcPr>
        <w:shd w:val="clear" w:color="auto" w:fill="943634" w:themeFill="accent2" w:themeFillShade="BF"/>
      </w:tcPr>
    </w:tblStylePr>
    <w:tblStylePr w:type="lastCol">
      <w:rPr>
        <w:color w:val="282829"/>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282829"/>
      </w:rPr>
      <w:tblPr/>
      <w:tcPr>
        <w:shd w:val="clear" w:color="auto" w:fill="D6E3BC" w:themeFill="accent3" w:themeFillTint="66"/>
      </w:tcPr>
    </w:tblStylePr>
    <w:tblStylePr w:type="firstCol">
      <w:rPr>
        <w:color w:val="282829"/>
      </w:rPr>
      <w:tblPr/>
      <w:tcPr>
        <w:shd w:val="clear" w:color="auto" w:fill="76923C" w:themeFill="accent3" w:themeFillShade="BF"/>
      </w:tcPr>
    </w:tblStylePr>
    <w:tblStylePr w:type="lastCol">
      <w:rPr>
        <w:color w:val="282829"/>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282829"/>
      </w:rPr>
      <w:tblPr/>
      <w:tcPr>
        <w:shd w:val="clear" w:color="auto" w:fill="CCC0D9" w:themeFill="accent4" w:themeFillTint="66"/>
      </w:tcPr>
    </w:tblStylePr>
    <w:tblStylePr w:type="firstCol">
      <w:rPr>
        <w:color w:val="282829"/>
      </w:rPr>
      <w:tblPr/>
      <w:tcPr>
        <w:shd w:val="clear" w:color="auto" w:fill="5F497A" w:themeFill="accent4" w:themeFillShade="BF"/>
      </w:tcPr>
    </w:tblStylePr>
    <w:tblStylePr w:type="lastCol">
      <w:rPr>
        <w:color w:val="282829"/>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282829"/>
      </w:rPr>
      <w:tblPr/>
      <w:tcPr>
        <w:shd w:val="clear" w:color="auto" w:fill="B6DDE8" w:themeFill="accent5" w:themeFillTint="66"/>
      </w:tcPr>
    </w:tblStylePr>
    <w:tblStylePr w:type="firstCol">
      <w:rPr>
        <w:color w:val="282829"/>
      </w:rPr>
      <w:tblPr/>
      <w:tcPr>
        <w:shd w:val="clear" w:color="auto" w:fill="31849B" w:themeFill="accent5" w:themeFillShade="BF"/>
      </w:tcPr>
    </w:tblStylePr>
    <w:tblStylePr w:type="lastCol">
      <w:rPr>
        <w:color w:val="282829"/>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8282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282829"/>
      </w:rPr>
      <w:tblPr/>
      <w:tcPr>
        <w:shd w:val="clear" w:color="auto" w:fill="FBD4B4" w:themeFill="accent6" w:themeFillTint="66"/>
      </w:tcPr>
    </w:tblStylePr>
    <w:tblStylePr w:type="firstCol">
      <w:rPr>
        <w:color w:val="282829"/>
      </w:rPr>
      <w:tblPr/>
      <w:tcPr>
        <w:shd w:val="clear" w:color="auto" w:fill="E36C0A" w:themeFill="accent6" w:themeFillShade="BF"/>
      </w:tcPr>
    </w:tblStylePr>
    <w:tblStylePr w:type="lastCol">
      <w:rPr>
        <w:color w:val="282829"/>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ww.bbc.com/news/world-asia-pacific-14921238" TargetMode="External"/><Relationship Id="rId13" Type="http://schemas.openxmlformats.org/officeDocument/2006/relationships/hyperlink" Target="https://api.worldbank.org/v2/country/IDN/indicator/SP.POP.TOTL?format=json" TargetMode="External"/><Relationship Id="rId14" Type="http://schemas.openxmlformats.org/officeDocument/2006/relationships/hyperlink" Target="https://api.worldbank.org/v2/country/IDN/indicator/NY.GDP.MKTP.PP.CD?format=json" TargetMode="External"/><Relationship Id="rId15" Type="http://schemas.openxmlformats.org/officeDocument/2006/relationships/hyperlink" Target="https://api.worldbank.org/v2/country/IDN/indicator/NY.GDP.PCAP.PP.CD?format=json" TargetMode="External"/><Relationship Id="rId16" Type="http://schemas.openxmlformats.org/officeDocument/2006/relationships/hyperlink" Target="https://indonesiabusinesspost.com/2964/Politics/cyber-and-espionage" TargetMode="External"/><Relationship Id="rId17" Type="http://schemas.openxmlformats.org/officeDocument/2006/relationships/hyperlink" Target="https://www.bi.go.id/en/rupiah/default.aspx" TargetMode="External"/><Relationship Id="rId18" Type="http://schemas.openxmlformats.org/officeDocument/2006/relationships/hyperlink" Target="https://kr-asia.com/indonesia-makes-billion-dollar-health-care-bet-to-keep-rich-patients-at-home" TargetMode="External"/><Relationship Id="rId19" Type="http://schemas.openxmlformats.org/officeDocument/2006/relationships/hyperlink" Target="https://api.worldbank.org/v2/country/IDN/indicator/SP.URB.TOTL.IN.ZS?format=json" TargetMode="External"/><Relationship Id="rId20" Type="http://schemas.openxmlformats.org/officeDocument/2006/relationships/hyperlink" Target="https://api.worldbank.org/v2/country/IDN/indicator/SP.DYN.TFRT.IN?format=json" TargetMode="External"/><Relationship Id="rId21" Type="http://schemas.openxmlformats.org/officeDocument/2006/relationships/hyperlink" Target="https://api.worldbank.org/v2/country/IDN/indicator/SP.POP.65UP.TO.ZS?format=json" TargetMode="External"/><Relationship Id="rId22" Type="http://schemas.openxmlformats.org/officeDocument/2006/relationships/hyperlink" Target="https://api.worldbank.org/v2/country/IDN/indicator/SP.DYN.LE00.IN?format=json" TargetMode="External"/><Relationship Id="rId23" Type="http://schemas.openxmlformats.org/officeDocument/2006/relationships/hyperlink" Target="https://www.worldbank.org/en/results/2026/06/17/expanding-health-service-coverage-quality-and-equity-at-scale-in-indonesia" TargetMode="External"/><Relationship Id="rId24" Type="http://schemas.openxmlformats.org/officeDocument/2006/relationships/hyperlink" Target="https://api.worldbank.org/v2/country/IDN/indicator/SP.POP.0014.TO.ZS?format=json" TargetMode="External"/><Relationship Id="rId25" Type="http://schemas.openxmlformats.org/officeDocument/2006/relationships/hyperlink" Target="https://www.news4jax.com/news/world/2024/10/20/indonesia-swears-in-prabowo-subianto-as-the-countrys-eighth-president/" TargetMode="External"/><Relationship Id="rId26" Type="http://schemas.openxmlformats.org/officeDocument/2006/relationships/hyperlink" Target="https://asianews.network/indonesian-lawmakers-pass-omnibus-health-bill-despite-protests/" TargetMode="External"/><Relationship Id="rId27" Type="http://schemas.openxmlformats.org/officeDocument/2006/relationships/hyperlink" Target="https://kesprimkom.kemkes.go.id/konten/178/133/0/kemenkes-perkuat-tindak-lanjut-cek-kesehatan-gratis-usai-tembus-73-8-juta" TargetMode="External"/><Relationship Id="rId28" Type="http://schemas.openxmlformats.org/officeDocument/2006/relationships/hyperlink" Target="https://indonesiabusinesspost.com/4611/environment/president-inaugurates-sanur-sez-a-major-leap-in-healthcare-transformation" TargetMode="External"/><Relationship Id="rId29" Type="http://schemas.openxmlformats.org/officeDocument/2006/relationships/hyperlink" Target="https://api.worldbank.org/v2/country/IDN/indicator/NY.GDP.MKTP.KD.ZG?format=json" TargetMode="External"/><Relationship Id="rId30" Type="http://schemas.openxmlformats.org/officeDocument/2006/relationships/hyperlink" Target="https://www.imf.org/en/news/articles/2026/01/21/pr-26010-indnonesia-imf-executive-board-concludes-2025-article-iv-consultation" TargetMode="External"/><Relationship Id="rId31" Type="http://schemas.openxmlformats.org/officeDocument/2006/relationships/hyperlink" Target="https://www.worldbank.org/en/news/press-release/2026/06/13/indonesia-s-growth-remains-resilient-but-productivity-reforms-are-key-to-creating" TargetMode="External"/><Relationship Id="rId32" Type="http://schemas.openxmlformats.org/officeDocument/2006/relationships/hyperlink" Target="https://www.worldbank.org/en/country/indonesia/overview" TargetMode="External"/><Relationship Id="rId33" Type="http://schemas.openxmlformats.org/officeDocument/2006/relationships/hyperlink" Target="https://databoks.katadata.co.id/en/economics-macro/statistics/689f16744d838/indonesias-2026-state-budget-allocates-rp244-trillion-for-healthcare-a-15-increase" TargetMode="External"/><Relationship Id="rId34" Type="http://schemas.openxmlformats.org/officeDocument/2006/relationships/hyperlink" Target="https://databoks.katadata.co.id/en/economics-macro/statistics/6a7f005c873f5/health-budget-rises-to-idr-2449-trillion-in-2027-draft-state-budget" TargetMode="External"/><Relationship Id="rId35" Type="http://schemas.openxmlformats.org/officeDocument/2006/relationships/hyperlink" Target="https://thejakartapost.com/indonesia/2026/06/11/bpjs-kesehatan-warns-it-may-fail-to-pay-claims-next-year-as-deficits-persist" TargetMode="External"/><Relationship Id="rId36" Type="http://schemas.openxmlformats.org/officeDocument/2006/relationships/hyperlink" Target="https://katadata.co.id/finansial/keuangan/6a462f6ee51e3/defisit-bpjs-kesehatan-bengkak-124-di-2025-tembus-rp-17-1-triliun-ada-apa" TargetMode="External"/><Relationship Id="rId37" Type="http://schemas.openxmlformats.org/officeDocument/2006/relationships/hyperlink" Target="https://jatim.antaranews.com/amp/berita/958945/indonesia-to-fast-track-70-thousand-specialist-doctors-target" TargetMode="External"/><Relationship Id="rId38" Type="http://schemas.openxmlformats.org/officeDocument/2006/relationships/hyperlink" Target="https://api.worldbank.org/v2/country/IDN/indicator/SH.DYN.NCOM.ZS?format=json" TargetMode="External"/><Relationship Id="rId39" Type="http://schemas.openxmlformats.org/officeDocument/2006/relationships/hyperlink" Target="https://sumut.antaranews.com/berita/547587/kemenkes-penyakit-kardiovaskular-sebabkan-kematian-terbanyak-di-di-indonesia" TargetMode="External"/><Relationship Id="rId40" Type="http://schemas.openxmlformats.org/officeDocument/2006/relationships/hyperlink" Target="https://repository.badankebijakan.kemkes.go.id/5536/1/07%20factsheet%20PTM_bahasa.pdf" TargetMode="External"/><Relationship Id="rId41" Type="http://schemas.openxmlformats.org/officeDocument/2006/relationships/hyperlink" Target="https://api.worldbank.org/v2/country/IDN/indicator/SH.TBS.INCD?format=json" TargetMode="External"/><Relationship Id="rId42" Type="http://schemas.openxmlformats.org/officeDocument/2006/relationships/hyperlink" Target="https://api.worldbank.org/v2/country/IDN/indicator/SH.STA.STNT.ZS?format=json" TargetMode="External"/><Relationship Id="rId43" Type="http://schemas.openxmlformats.org/officeDocument/2006/relationships/hyperlink" Target="https://api.worldbank.org/v2/country/IDN/indicator/SH.DYN.MORT?format=json" TargetMode="External"/><Relationship Id="rId44" Type="http://schemas.openxmlformats.org/officeDocument/2006/relationships/hyperlink" Target="https://en.tempo.co/read/2008639/major-causes-of-death-4-deadly-diseases-in-indonesia" TargetMode="External"/><Relationship Id="rId45" Type="http://schemas.openxmlformats.org/officeDocument/2006/relationships/hyperlink" Target="https://databoks.katadata.co.id/en/consumer-services/statistics/69d4a8e56ad4f/indonesia-ranks-second-globally-for-tb-cases-in-2024" TargetMode="External"/><Relationship Id="rId46" Type="http://schemas.openxmlformats.org/officeDocument/2006/relationships/hyperlink" Target="https://wartaekonomi.co.id/read598290/cakupan-jkn-tembus-98-penduduk-indonesia-bpjs-catat-peserta-capai-2827-juta-jiwa" TargetMode="External"/><Relationship Id="rId47" Type="http://schemas.openxmlformats.org/officeDocument/2006/relationships/hyperlink" Target="https://databoks.katadata.co.id/en/consumer-services/statistics/69265660c28ff/most-general-hospitals-in-indonesia-are-privately-owned-2020-2024" TargetMode="External"/><Relationship Id="rId48" Type="http://schemas.openxmlformats.org/officeDocument/2006/relationships/hyperlink" Target="https://www.kemkes.go.id/eng/kemenkes-bangun-rs-untuk-pemerataan-akses-kesehatan-di-daerah" TargetMode="External"/><Relationship Id="rId49" Type="http://schemas.openxmlformats.org/officeDocument/2006/relationships/hyperlink" Target="https://www.suarasurabaya.net/kelanakota/2025/cek-kesehatan-gratis-mulai-10-februari-kemenkes-siapkan-10-200-puskesmas-di-seluruh-indonesia/" TargetMode="External"/><Relationship Id="rId50" Type="http://schemas.openxmlformats.org/officeDocument/2006/relationships/hyperlink" Target="https://investasi.kontan.co.id/news/intip-rekomendasi-saham-dan-prospek-emiten-rumah-sakit-di-2026" TargetMode="External"/><Relationship Id="rId51" Type="http://schemas.openxmlformats.org/officeDocument/2006/relationships/hyperlink" Target="https://wartaekonomi.co.id/read582148/ekspansi-agresif-setelah-astra-masuk-hermina-rencanakan-3-rs-baru-tahun-ini" TargetMode="External"/><Relationship Id="rId52" Type="http://schemas.openxmlformats.org/officeDocument/2006/relationships/hyperlink" Target="https://investortrust.id/market/77152/mayapada-healthcare-invests-rp-1-trillion-to-build-international-hospital-in-batam" TargetMode="External"/><Relationship Id="rId53" Type="http://schemas.openxmlformats.org/officeDocument/2006/relationships/hyperlink" Target="https://api.worldbank.org/v2/country/IDN/indicator/SH.XPD.CHEX.GD.ZS?format=json" TargetMode="External"/><Relationship Id="rId54" Type="http://schemas.openxmlformats.org/officeDocument/2006/relationships/hyperlink" Target="https://api.worldbank.org/v2/country/IDN/indicator/SH.XPD.CHEX.PC.CD?format=json" TargetMode="External"/><Relationship Id="rId55" Type="http://schemas.openxmlformats.org/officeDocument/2006/relationships/hyperlink" Target="https://api.worldbank.org/v2/country/IDN/indicator/SH.XPD.GHED.CH.ZS?format=json" TargetMode="External"/><Relationship Id="rId56" Type="http://schemas.openxmlformats.org/officeDocument/2006/relationships/hyperlink" Target="https://api.worldbank.org/v2/country/IDN/indicator/SH.XPD.OOPC.CH.ZS?format=json" TargetMode="External"/><Relationship Id="rId57" Type="http://schemas.openxmlformats.org/officeDocument/2006/relationships/hyperlink" Target="https://api.worldbank.org/v2/country/IDN;MYS;THA;VNM;PHL;SGP;OED;WLD/indicator/SH.XPD.CHEX.GD.ZS?format=json&amp;per_page=100&amp;date=2021:2023" TargetMode="External"/><Relationship Id="rId58" Type="http://schemas.openxmlformats.org/officeDocument/2006/relationships/hyperlink" Target="https://api.worldbank.org/v2/country/IDN;MYS;THA;VNM;PHL;SGP;OED;WLD/indicator/SH.MED.PHYS.ZS?format=json&amp;per_page=100&amp;date=2021:2023" TargetMode="External"/><Relationship Id="rId59" Type="http://schemas.openxmlformats.org/officeDocument/2006/relationships/hyperlink" Target="https://api.worldbank.org/v2/country/IDN/indicator/SH.MED.NUMW.P3?format=json" TargetMode="External"/><Relationship Id="rId60" Type="http://schemas.openxmlformats.org/officeDocument/2006/relationships/hyperlink" Target="https://api.worldbank.org/v2/country/IDN/indicator/SH.MED.BEDS.ZS?format=json" TargetMode="External"/><Relationship Id="rId61" Type="http://schemas.openxmlformats.org/officeDocument/2006/relationships/hyperlink" Target="https://en.antaranews.com/news/402982/indonesia-develops-hospital-based-training-to-fix-specialist-shortage" TargetMode="External"/><Relationship Id="rId62" Type="http://schemas.openxmlformats.org/officeDocument/2006/relationships/hyperlink" Target="https://kemkes.go.id/eng/atasi-kekurangan-dokter-spesialis-kemenkes-berangkatkan-27-dokter-belajar-ke-rrt-dan-jepang" TargetMode="External"/><Relationship Id="rId63" Type="http://schemas.openxmlformats.org/officeDocument/2006/relationships/hyperlink" Target="https://theedgemalaysia.com/node/791491" TargetMode="External"/><Relationship Id="rId64" Type="http://schemas.openxmlformats.org/officeDocument/2006/relationships/hyperlink" Target="https://icongroup.global/en/news/2026-03-26/icon-cancer-centre-at-bali-international-hospital-marks-regional-first-with-advanced-radiotherapy-cancer-treatments/" TargetMode="External"/><Relationship Id="rId65" Type="http://schemas.openxmlformats.org/officeDocument/2006/relationships/hyperlink" Target="https://bali.com/news/press-releases/bali-international-hospital-hosts-meet-greet-with-global-medical-partners/" TargetMode="External"/><Relationship Id="rId66" Type="http://schemas.openxmlformats.org/officeDocument/2006/relationships/image" Target="media/image2.png"/><Relationship Id="rId67" Type="http://schemas.openxmlformats.org/officeDocument/2006/relationships/hyperlink" Target="https://www.cedars-sinai.org/blog/cedars-sinai-launches-collaboration-in-indonesia.html" TargetMode="External"/><Relationship Id="rId68" Type="http://schemas.openxmlformats.org/officeDocument/2006/relationships/hyperlink" Target="https://biz.kompas.com/read/2022/08/25/121418528/eka-hospital-group-jalin-kerja-sama-dengan-cedars-sinai-hospital" TargetMode="External"/><Relationship Id="rId69" Type="http://schemas.openxmlformats.org/officeDocument/2006/relationships/hyperlink" Target="https://www.cedars-sinai.org/international-stories/nurses-share-expertise-with-international-eka-hospital-group.html" TargetMode="External"/><Relationship Id="rId70" Type="http://schemas.openxmlformats.org/officeDocument/2006/relationships/hyperlink" Target="https://cisdi.org/siaran-pers/kolaborasi-cisdi-phil" TargetMode="External"/><Relationship Id="rId71" Type="http://schemas.openxmlformats.org/officeDocument/2006/relationships/hyperlink" Target="https://hsph.harvard.edu/global-health-population/events/brown-bag-seminar-diah-saminarsih/" TargetMode="External"/><Relationship Id="rId72" Type="http://schemas.openxmlformats.org/officeDocument/2006/relationships/hyperlink" Target="https://knowledge-action-portal.com/en/content/project-notre-indonesia-breast-cancer-echo-jun-14-2025-0300-pm-eest" TargetMode="External"/><Relationship Id="rId73" Type="http://schemas.openxmlformats.org/officeDocument/2006/relationships/hyperlink" Target="https://www.mdanderson.org/newsroom/md-anderson-announces-new-collaboration-in-indonesia.h00-159616278.html" TargetMode="External"/><Relationship Id="rId74" Type="http://schemas.openxmlformats.org/officeDocument/2006/relationships/hyperlink" Target="https://www.kemkes.go.id/eng/kemenkes-dan-md-anderson-cancer-center-jalin-kerja-sama-atasi-kanker" TargetMode="External"/><Relationship Id="rId75" Type="http://schemas.openxmlformats.org/officeDocument/2006/relationships/hyperlink" Target="https://industri.kontan.co.id/news/kesenjangan-layanan-kanker-di-indonesia-mrccc-siloam-menggandeng-md-anderson" TargetMode="External"/><Relationship Id="rId76" Type="http://schemas.openxmlformats.org/officeDocument/2006/relationships/hyperlink" Target="https://rspp.co.id/artikel-detail-597-Learning-from-the-Best-IHC-RSPP-Endocrinologist-Gains-Insights-into-Innovative-Medical-Practices-firsthand-at-Mayo-Clinic&#8217;s-campus-in-Jacksonville,-Florida-.html" TargetMode="External"/><Relationship Id="rId77" Type="http://schemas.openxmlformats.org/officeDocument/2006/relationships/hyperlink" Target="https://newsnetwork.mayoclinic.org/discussion/ihc-rumah-sakit-pusat-pertamina-in-indonesia-joins-mayo-clinic-care-network" TargetMode="External"/><Relationship Id="rId78" Type="http://schemas.openxmlformats.org/officeDocument/2006/relationships/hyperlink" Target="https://rspp.co.id/artikel-detail-210-Rumah-Sakit-Pusat-Pertamina-(RSPP)-Gains-Insight-from-Mayo-Clinic-for-Outpatient-Chemotherapy-Unit-.html" TargetMode="External"/><Relationship Id="rId79" Type="http://schemas.openxmlformats.org/officeDocument/2006/relationships/hyperlink" Target="https://keslan.kemkes.go.id/view_foto/554" TargetMode="External"/><Relationship Id="rId80" Type="http://schemas.openxmlformats.org/officeDocument/2006/relationships/hyperlink" Target="https://stjude.org/research/progress/2024/st-jude-global-and-indonesian-stakeholders-unite-for-first-ever-national-childhood-cancer-policy-planning.html" TargetMode="External"/><Relationship Id="rId81" Type="http://schemas.openxmlformats.org/officeDocument/2006/relationships/hyperlink" Target="https://www.jawapos.com/kesehatan/2601230030/perkuat-kolaborasi-lintas-negara-mayapada-healthcare-yakin-bisa-kurangi-orang-berobat-ke-luar-negeri" TargetMode="External"/><Relationship Id="rId82" Type="http://schemas.openxmlformats.org/officeDocument/2006/relationships/hyperlink" Target="https://health.detik.com/berita-detikhealth/d-8316666/kolaborasi-klinis-mayapada-healthcare-apollo-hospitals-india-kian-matang" TargetMode="External"/><Relationship Id="rId83" Type="http://schemas.openxmlformats.org/officeDocument/2006/relationships/hyperlink" Target="https://investortrust.id/business/54719/mayapada-healthcare-partners-with-indias-apollo-hospitals-to-curb-medical-tourism" TargetMode="External"/><Relationship Id="rId84" Type="http://schemas.openxmlformats.org/officeDocument/2006/relationships/hyperlink" Target="https://www.rspremierbintaro.com/welcome-to-premier-bintaro-hospital" TargetMode="External"/><Relationship Id="rId85" Type="http://schemas.openxmlformats.org/officeDocument/2006/relationships/hyperlink" Target="https://pr.csmu.edu.tw/p/16-1024-71677.php?Lang=zh-tw" TargetMode="External"/><Relationship Id="rId86" Type="http://schemas.openxmlformats.org/officeDocument/2006/relationships/hyperlink" Target="https://www.hkam-group.com/en-GB/about-the-group" TargetMode="External"/><Relationship Id="rId87" Type="http://schemas.openxmlformats.org/officeDocument/2006/relationships/hyperlink" Target="https://icongroup.global/en/news/2025-05-07/icon-cancer-centre-bali-treats-first-patient/" TargetMode="External"/><Relationship Id="rId88" Type="http://schemas.openxmlformats.org/officeDocument/2006/relationships/hyperlink" Target="https://icongroup.global/en/news/2025-03-04/icon-group-and-bali-international-hospital/" TargetMode="External"/><Relationship Id="rId89" Type="http://schemas.openxmlformats.org/officeDocument/2006/relationships/hyperlink" Target="https://www.kemkes.go.id/eng/kemenkes-dan-iuhw-jepang-kerja-sama-perkuat-pendidikan-dokter-spesialis" TargetMode="External"/><Relationship Id="rId90" Type="http://schemas.openxmlformats.org/officeDocument/2006/relationships/hyperlink" Target="https://rri.co.id/en/education/2332993/indonesia-and-japan-expand-cooperation-in-specialist-medical-education" TargetMode="External"/><Relationship Id="rId91" Type="http://schemas.openxmlformats.org/officeDocument/2006/relationships/hyperlink" Target="https://unair.ac.id/en/japanese-delegation-visits-unair-hospital-to-strengthen-research-and-innovation-collaboration/" TargetMode="External"/><Relationship Id="rId92" Type="http://schemas.openxmlformats.org/officeDocument/2006/relationships/hyperlink" Target="https://keslan.kemkes.go.id/read/4058/rsomh-bukittinggi-dan-monash-health-perkuat-kolaborasi-pengembangan-rehabilitasi-stroke" TargetMode="External"/><Relationship Id="rId93" Type="http://schemas.openxmlformats.org/officeDocument/2006/relationships/hyperlink" Target="https://keslan.kemkes.go.id/read/4358/rsomh-bukittinggi-dukung-rencana-program-kerja-sama-bersama-monash-health" TargetMode="External"/><Relationship Id="rId94" Type="http://schemas.openxmlformats.org/officeDocument/2006/relationships/hyperlink" Target="https://www.rama.mahidol.ac.th/international/news/event/22052025-1111" TargetMode="External"/><Relationship Id="rId95" Type="http://schemas.openxmlformats.org/officeDocument/2006/relationships/hyperlink" Target="https://www.snuh.org/board/B003/view.do?bbs_no=6932" TargetMode="External"/><Relationship Id="rId96" Type="http://schemas.openxmlformats.org/officeDocument/2006/relationships/hyperlink" Target="https://kemkes.go.id/id/lakukan-transplantasi-hati-ketiga-rsup-fatmawati-perkuat-kemandirian-layanan-dalam-negeri" TargetMode="External"/><Relationship Id="rId97" Type="http://schemas.openxmlformats.org/officeDocument/2006/relationships/hyperlink" Target="https://www.kemkes.go.id/eng/kerja-sama-indonesia-korea-dukung-implementasi-transformasi-kesehatan" TargetMode="External"/><Relationship Id="rId98" Type="http://schemas.openxmlformats.org/officeDocument/2006/relationships/hyperlink" Target="https://indonesiabusinesspost.com/1823/Politics/ihc-singhealth-seals-deal-collaboration-to-improve-patient-care" TargetMode="External"/><Relationship Id="rId99" Type="http://schemas.openxmlformats.org/officeDocument/2006/relationships/hyperlink" Target="https://pertamina.com/en/news-room/news-release/pertamina-bina-medika-ihc-and-singhealth-collaborate-to-enhance-healthcare-services" TargetMode="External"/><Relationship Id="rId100" Type="http://schemas.openxmlformats.org/officeDocument/2006/relationships/hyperlink" Target="https://www.usu.ac.id/en/news/collaboration-between-the-faculty-of-medicine-universitas-sumatera-utara-usu-and-singhealth-duke-nus-global-health-institute-on-the-2025-summer-course" TargetMode="External"/><Relationship Id="rId101" Type="http://schemas.openxmlformats.org/officeDocument/2006/relationships/hyperlink" Target="https://www.usu.ac.id/en/news/usu-duke-nus-global-health-strengthen-partnerships" TargetMode="External"/><Relationship Id="rId102" Type="http://schemas.openxmlformats.org/officeDocument/2006/relationships/hyperlink" Target="https://www.kemkes.go.id/eng/perawatan-kesehatan-rasa-liburan-bali-kini-punya-pusat-wellness-berstandar-internasional" TargetMode="External"/><Relationship Id="rId103" Type="http://schemas.openxmlformats.org/officeDocument/2006/relationships/hyperlink" Target="https://profngoerahhospitalbali.com/home/2023/09/07/penandatanganan-perjanjian-kerjasama-antara-rsup-prof-ngoerah-dengan-sun-medical-center-korea-selatan/" TargetMode="External"/><Relationship Id="rId104" Type="http://schemas.openxmlformats.org/officeDocument/2006/relationships/hyperlink" Target="https://www.antaranews.com/berita/4853713/dkh-hospitals-dan-tvgh-teken-mou-tingkatkan-layanan-kesehatan-di-ri" TargetMode="External"/><Relationship Id="rId105" Type="http://schemas.openxmlformats.org/officeDocument/2006/relationships/hyperlink" Target="https://kemkes.go.id/id/perkuat-layanan-jantung-berkelas-dunia-di-indonesia-gedung-baru-rs-harkit-resmi-topping-off" TargetMode="External"/><Relationship Id="rId106" Type="http://schemas.openxmlformats.org/officeDocument/2006/relationships/hyperlink" Target="https://en.antaranews.com/news/412388/indonesia-japan-back-harapan-kita-as-asias-biggest-cardiac-hub" TargetMode="External"/><Relationship Id="rId107" Type="http://schemas.openxmlformats.org/officeDocument/2006/relationships/hyperlink" Target="https://ssek.com/blog/ssek-acts-for-tokushukai-medical-corporation-group-in-major-cooperation-project-in-indonesian-health-sector/?lang=id" TargetMode="External"/><Relationship Id="rId108" Type="http://schemas.openxmlformats.org/officeDocument/2006/relationships/hyperlink" Target="https://www.crukscotlandinstitute.ac.uk/cruk-si-education/phd-students/lpdp.html" TargetMode="External"/><Relationship Id="rId109" Type="http://schemas.openxmlformats.org/officeDocument/2006/relationships/hyperlink" Target="https://www.kemkes.go.id/eng/perkuat-layanan-jantung-nasional-13-dokter-spesialis-jantung-indonesia-berguru-ke-tiongkok" TargetMode="External"/><Relationship Id="rId110" Type="http://schemas.openxmlformats.org/officeDocument/2006/relationships/hyperlink" Target="https://www.kemkes.go.id/eng/kemenkes-ri-dan-rs-rizhao-xinyi-kerja-sama-pelatihan-dokter-kardiovaskular" TargetMode="External"/><Relationship Id="rId111" Type="http://schemas.openxmlformats.org/officeDocument/2006/relationships/header" Target="header2.xml"/><Relationship Id="rId112" Type="http://schemas.openxmlformats.org/officeDocument/2006/relationships/header" Target="header3.xml"/><Relationship Id="rId113" Type="http://schemas.openxmlformats.org/officeDocument/2006/relationships/footer" Target="footer2.xml"/><Relationship Id="rId1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D91F2C"/>
      </a:accent1>
      <a:accent2>
        <a:srgbClr val="C0504D"/>
      </a:accent2>
      <a:accent3>
        <a:srgbClr val="9BBB59"/>
      </a:accent3>
      <a:accent4>
        <a:srgbClr val="8064A2"/>
      </a:accent4>
      <a:accent5>
        <a:srgbClr val="4BACC6"/>
      </a:accent5>
      <a:accent6>
        <a:srgbClr val="F79646"/>
      </a:accent6>
      <a:hlink>
        <a:srgbClr val="D91F2C"/>
      </a:hlink>
      <a:folHlink>
        <a:srgbClr val="D91F2C"/>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 Country profile</dc:title>
  <dc:subject/>
  <dc:creator>Cedars-Sinai International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