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Singapore sources</w:t>
      </w:r>
    </w:p>
    <w:p>
      <w:pPr>
        <w:keepLines/>
        <w:widowControl/>
        <w:spacing w:before="0" w:after="160" w:line="228" w:lineRule="exact"/>
        <w:ind w:left="0" w:firstLine="0" w:right="0"/>
        <w:jc w:val="left"/>
      </w:pPr>
      <w:r>
        <w:rPr>
          <w:rFonts w:ascii="Arial" w:hAnsi="Arial" w:eastAsia="Arial" w:cs="Arial"/>
          <w:color w:val="616161"/>
          <w:sz w:val="18"/>
          <w:szCs w:val="18"/>
        </w:rPr>
        <w:t>Numbered to match the profile and executive summary. Source dates and review limitations are retained from the reviewed research package.</w:t>
      </w:r>
    </w:p>
    <w:p>
      <w:pPr>
        <w:keepLines/>
        <w:widowControl/>
        <w:spacing w:before="0" w:after="160" w:line="228" w:lineRule="exact"/>
        <w:ind w:left="0" w:firstLine="0" w:right="0"/>
        <w:jc w:val="left"/>
      </w:pPr>
      <w:r>
        <w:rPr>
          <w:rFonts w:ascii="Arial" w:hAnsi="Arial" w:eastAsia="Arial" w:cs="Arial"/>
          <w:color w:val="616161"/>
          <w:sz w:val="18"/>
          <w:szCs w:val="18"/>
        </w:rPr>
        <w:t>References 1 to 10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w:t>
        <w:tab/>
      </w:r>
      <w:r>
        <w:rPr>
          <w:rFonts w:ascii="Arial" w:hAnsi="Arial" w:eastAsia="Arial" w:cs="Arial"/>
          <w:color w:val="242424"/>
          <w:sz w:val="21"/>
          <w:szCs w:val="21"/>
        </w:rPr>
        <w:t xml:space="preserve">Ministry of Foreign Affairs, Singapore. “About Singapore.” Ministry of Foreign Affairs, Singapore, 2025-11-07. </w:t>
      </w:r>
      <w:hyperlink r:id="rId15">
        <w:r>
          <w:rPr>
            <w:rFonts w:ascii="Arial" w:hAnsi="Arial" w:eastAsia="Arial" w:cs="Arial"/>
            <w:color w:val="242424"/>
            <w:sz w:val="21"/>
            <w:szCs w:val="21"/>
          </w:rPr>
          <w:t xml:space="preserve">https://www.mfa.gov.sg/about-singapore/</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w:t>
        <w:tab/>
      </w:r>
      <w:r>
        <w:rPr>
          <w:rFonts w:ascii="Arial" w:hAnsi="Arial" w:eastAsia="Arial" w:cs="Arial"/>
          <w:color w:val="242424"/>
          <w:sz w:val="21"/>
          <w:szCs w:val="21"/>
        </w:rPr>
        <w:t xml:space="preserve">Attorney-General's Chambers. “Constitution of the Republic of Singapore, Article 153A.” Attorney-General's Chambers. </w:t>
      </w:r>
      <w:hyperlink r:id="rId16">
        <w:r>
          <w:rPr>
            <w:rFonts w:ascii="Arial" w:hAnsi="Arial" w:eastAsia="Arial" w:cs="Arial"/>
            <w:color w:val="242424"/>
            <w:sz w:val="21"/>
            <w:szCs w:val="21"/>
          </w:rPr>
          <w:t xml:space="preserve">https://sso.agc.gov.sg/Act/CONS1963?ProvIds=pr153A-</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w:t>
        <w:tab/>
      </w:r>
      <w:r>
        <w:rPr>
          <w:rFonts w:ascii="Arial" w:hAnsi="Arial" w:eastAsia="Arial" w:cs="Arial"/>
          <w:color w:val="242424"/>
          <w:sz w:val="21"/>
          <w:szCs w:val="21"/>
        </w:rPr>
        <w:t xml:space="preserve">Singapore Department of Statistics. “Population and Population Structure: Latest News &amp; Data.” Singapore Department of Statistics. </w:t>
      </w:r>
      <w:hyperlink r:id="rId17">
        <w:r>
          <w:rPr>
            <w:rFonts w:ascii="Arial" w:hAnsi="Arial" w:eastAsia="Arial" w:cs="Arial"/>
            <w:color w:val="242424"/>
            <w:sz w:val="21"/>
            <w:szCs w:val="21"/>
          </w:rPr>
          <w:t xml:space="preserve">https://www.singstat.gov.sg/find-data/explore-data-themes/population/population-and-population-structure/latest-news-data</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w:t>
        <w:tab/>
      </w:r>
      <w:r>
        <w:rPr>
          <w:rFonts w:ascii="Arial" w:hAnsi="Arial" w:eastAsia="Arial" w:cs="Arial"/>
          <w:color w:val="242424"/>
          <w:sz w:val="21"/>
          <w:szCs w:val="21"/>
        </w:rPr>
        <w:t xml:space="preserve">Singapore Department of Statistics. “Environment: Latest News &amp; Data.” Singapore Department of Statistics. </w:t>
      </w:r>
      <w:hyperlink r:id="rId18">
        <w:r>
          <w:rPr>
            <w:rFonts w:ascii="Arial" w:hAnsi="Arial" w:eastAsia="Arial" w:cs="Arial"/>
            <w:color w:val="242424"/>
            <w:sz w:val="21"/>
            <w:szCs w:val="21"/>
          </w:rPr>
          <w:t xml:space="preserve">https://www.singstat.gov.sg/find-data/explore-data-themes/society/environment/latest-news-data</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w:t>
        <w:tab/>
      </w:r>
      <w:r>
        <w:rPr>
          <w:rFonts w:ascii="Arial" w:hAnsi="Arial" w:eastAsia="Arial" w:cs="Arial"/>
          <w:color w:val="242424"/>
          <w:sz w:val="21"/>
          <w:szCs w:val="21"/>
        </w:rPr>
        <w:t xml:space="preserve">World Bank. “GDP per capita, PPP (current international $), Singapore (NY.GDP.PCAP.PP.CD).” World Development Indicators. </w:t>
      </w:r>
      <w:hyperlink r:id="rId19">
        <w:r>
          <w:rPr>
            <w:rFonts w:ascii="Arial" w:hAnsi="Arial" w:eastAsia="Arial" w:cs="Arial"/>
            <w:color w:val="242424"/>
            <w:sz w:val="21"/>
            <w:szCs w:val="21"/>
          </w:rPr>
          <w:t xml:space="preserve">https://databank.worldbank.org/reports.aspx?country=SGP&amp;series=NY.GDP.PCAP.PP.CD&amp;source=2</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w:t>
        <w:tab/>
      </w:r>
      <w:r>
        <w:rPr>
          <w:rFonts w:ascii="Arial" w:hAnsi="Arial" w:eastAsia="Arial" w:cs="Arial"/>
          <w:color w:val="242424"/>
          <w:sz w:val="21"/>
          <w:szCs w:val="21"/>
        </w:rPr>
        <w:t xml:space="preserve">Monetary Authority of Singapore. “Singapore Currency.” Monetary Authority of Singapore. </w:t>
      </w:r>
      <w:hyperlink r:id="rId20">
        <w:r>
          <w:rPr>
            <w:rFonts w:ascii="Arial" w:hAnsi="Arial" w:eastAsia="Arial" w:cs="Arial"/>
            <w:color w:val="242424"/>
            <w:sz w:val="21"/>
            <w:szCs w:val="21"/>
          </w:rPr>
          <w:t xml:space="preserve">https://www.mas.gov.sg/currency</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7.</w:t>
        <w:tab/>
      </w:r>
      <w:r>
        <w:rPr>
          <w:rFonts w:ascii="Arial" w:hAnsi="Arial" w:eastAsia="Arial" w:cs="Arial"/>
          <w:color w:val="242424"/>
          <w:sz w:val="21"/>
          <w:szCs w:val="21"/>
        </w:rPr>
        <w:t xml:space="preserve">Singapore Department of Statistics. “Population Trends, 2026.” Singapore Department of Statistics, 2026-09-25. </w:t>
      </w:r>
      <w:hyperlink r:id="rId21">
        <w:r>
          <w:rPr>
            <w:rFonts w:ascii="Arial" w:hAnsi="Arial" w:eastAsia="Arial" w:cs="Arial"/>
            <w:color w:val="242424"/>
            <w:sz w:val="21"/>
            <w:szCs w:val="21"/>
          </w:rPr>
          <w:t xml:space="preserve">https://www.singstat.gov.sg/publication-resources/population-trends-2026</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8.</w:t>
        <w:tab/>
      </w:r>
      <w:r>
        <w:rPr>
          <w:rFonts w:ascii="Arial" w:hAnsi="Arial" w:eastAsia="Arial" w:cs="Arial"/>
          <w:color w:val="242424"/>
          <w:sz w:val="21"/>
          <w:szCs w:val="21"/>
        </w:rPr>
        <w:t xml:space="preserve">Prime Minister's Office, Singapore. “Mr Lawrence WONG.” Prime Minister's Office, Singapore, 2026-01-13. </w:t>
      </w:r>
      <w:hyperlink r:id="rId22">
        <w:r>
          <w:rPr>
            <w:rFonts w:ascii="Arial" w:hAnsi="Arial" w:eastAsia="Arial" w:cs="Arial"/>
            <w:color w:val="242424"/>
            <w:sz w:val="21"/>
            <w:szCs w:val="21"/>
          </w:rPr>
          <w:t xml:space="preserve">https://www.pmo.gov.sg/about-us/the-cabinet/mr-lawrence-wong/</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9.</w:t>
        <w:tab/>
      </w:r>
      <w:r>
        <w:rPr>
          <w:rFonts w:ascii="Arial" w:hAnsi="Arial" w:eastAsia="Arial" w:cs="Arial"/>
          <w:color w:val="242424"/>
          <w:sz w:val="21"/>
          <w:szCs w:val="21"/>
        </w:rPr>
        <w:t xml:space="preserve">The Istana. “President Tharman Shanmugaratnam.” The Istana, 2026-09-30. </w:t>
      </w:r>
      <w:hyperlink r:id="rId23">
        <w:r>
          <w:rPr>
            <w:rFonts w:ascii="Arial" w:hAnsi="Arial" w:eastAsia="Arial" w:cs="Arial"/>
            <w:color w:val="242424"/>
            <w:sz w:val="21"/>
            <w:szCs w:val="21"/>
          </w:rPr>
          <w:t xml:space="preserve">https://www.istana.gov.sg/the-president/president-tharman-shanmugaratnam/</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10.</w:t>
        <w:tab/>
      </w:r>
      <w:r>
        <w:rPr>
          <w:rFonts w:ascii="Arial" w:hAnsi="Arial" w:eastAsia="Arial" w:cs="Arial"/>
          <w:color w:val="242424"/>
          <w:sz w:val="21"/>
          <w:szCs w:val="21"/>
        </w:rPr>
        <w:t xml:space="preserve">The Istana. “The Presidency.” The Istana, 2026-05-28. </w:t>
      </w:r>
      <w:hyperlink r:id="rId24">
        <w:r>
          <w:rPr>
            <w:rFonts w:ascii="Arial" w:hAnsi="Arial" w:eastAsia="Arial" w:cs="Arial"/>
            <w:color w:val="242424"/>
            <w:sz w:val="21"/>
            <w:szCs w:val="21"/>
          </w:rPr>
          <w:t xml:space="preserve">https://www.istana.gov.sg/the-president/presidents-duties/the-presidency/</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11 to 20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11.</w:t>
        <w:tab/>
      </w:r>
      <w:r>
        <w:rPr>
          <w:rFonts w:ascii="Arial" w:hAnsi="Arial" w:eastAsia="Arial" w:cs="Arial"/>
          <w:color w:val="242424"/>
          <w:sz w:val="21"/>
          <w:szCs w:val="21"/>
        </w:rPr>
        <w:t xml:space="preserve">Ministry of Health, Singapore. “Our partners.” Ministry of Health, Singapore. </w:t>
      </w:r>
      <w:hyperlink r:id="rId25">
        <w:r>
          <w:rPr>
            <w:rFonts w:ascii="Arial" w:hAnsi="Arial" w:eastAsia="Arial" w:cs="Arial"/>
            <w:color w:val="242424"/>
            <w:sz w:val="21"/>
            <w:szCs w:val="21"/>
          </w:rPr>
          <w:t xml:space="preserve">https://www.moh.gov.sg/about-us/our-partners/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12.</w:t>
        <w:tab/>
      </w:r>
      <w:r>
        <w:rPr>
          <w:rFonts w:ascii="Arial" w:hAnsi="Arial" w:eastAsia="Arial" w:cs="Arial"/>
          <w:color w:val="242424"/>
          <w:sz w:val="21"/>
          <w:szCs w:val="21"/>
        </w:rPr>
        <w:t xml:space="preserve">Singapore Department of Statistics. “National Accounts: Latest News &amp; Data.” Singapore Department of Statistics. </w:t>
      </w:r>
      <w:hyperlink r:id="rId26">
        <w:r>
          <w:rPr>
            <w:rFonts w:ascii="Arial" w:hAnsi="Arial" w:eastAsia="Arial" w:cs="Arial"/>
            <w:color w:val="242424"/>
            <w:sz w:val="21"/>
            <w:szCs w:val="21"/>
          </w:rPr>
          <w:t xml:space="preserve">https://www.singstat.gov.sg/find-data/explore-data-themes/economy-prices/national-accounts/latest-news-data</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13.</w:t>
        <w:tab/>
      </w:r>
      <w:r>
        <w:rPr>
          <w:rFonts w:ascii="Arial" w:hAnsi="Arial" w:eastAsia="Arial" w:cs="Arial"/>
          <w:color w:val="242424"/>
          <w:sz w:val="21"/>
          <w:szCs w:val="21"/>
        </w:rPr>
        <w:t xml:space="preserve">Ministry of Trade and Industry, Singapore. “MTI Upgrades 2026 GDP Growth Forecast to “4.5 to 5.5 Per Cent”.” Ministry of Energy, Trade and Industry, Singapore, 2026-08-11. </w:t>
      </w:r>
      <w:hyperlink r:id="rId27">
        <w:r>
          <w:rPr>
            <w:rFonts w:ascii="Arial" w:hAnsi="Arial" w:eastAsia="Arial" w:cs="Arial"/>
            <w:color w:val="242424"/>
            <w:sz w:val="21"/>
            <w:szCs w:val="21"/>
          </w:rPr>
          <w:t xml:space="preserve">https://www.meti.gov.sg/newsroom/mti-upgrades-2026-gdp-growth-forecast-to--4-5-to-5-5-per-cent-/</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14.</w:t>
        <w:tab/>
      </w:r>
      <w:r>
        <w:rPr>
          <w:rFonts w:ascii="Arial" w:hAnsi="Arial" w:eastAsia="Arial" w:cs="Arial"/>
          <w:color w:val="242424"/>
          <w:sz w:val="21"/>
          <w:szCs w:val="21"/>
        </w:rPr>
        <w:t xml:space="preserve">Ministry of Trade and Industry, Singapore. “Speech by Minister of State for Trade and Industry Alvin Tan at Ministry of Trade and Industry (MTI)'s Committee of Supply Debate 2023.” Ministry of Trade and Industry, Singapore, 2023-02-28. </w:t>
      </w:r>
      <w:hyperlink r:id="rId28">
        <w:r>
          <w:rPr>
            <w:rFonts w:ascii="Arial" w:hAnsi="Arial" w:eastAsia="Arial" w:cs="Arial"/>
            <w:color w:val="242424"/>
            <w:sz w:val="21"/>
            <w:szCs w:val="21"/>
          </w:rPr>
          <w:t xml:space="preserve">https://www.mti.gov.sg/newsroom/speech-by-minister-of-state-for-trade-and-industry-alvin-tan-at-ministry-of-trade-and-industry--mti--s-committee-of-supply-debate-2023/</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15.</w:t>
        <w:tab/>
      </w:r>
      <w:r>
        <w:rPr>
          <w:rFonts w:ascii="Arial" w:hAnsi="Arial" w:eastAsia="Arial" w:cs="Arial"/>
          <w:color w:val="242424"/>
          <w:sz w:val="21"/>
          <w:szCs w:val="21"/>
        </w:rPr>
        <w:t xml:space="preserve">Ministry of Health, Singapore. “Principal Causes of Death.” Ministry of Health, Singapore, 2026-10-06. </w:t>
      </w:r>
      <w:hyperlink r:id="rId29">
        <w:r>
          <w:rPr>
            <w:rFonts w:ascii="Arial" w:hAnsi="Arial" w:eastAsia="Arial" w:cs="Arial"/>
            <w:color w:val="242424"/>
            <w:sz w:val="21"/>
            <w:szCs w:val="21"/>
          </w:rPr>
          <w:t xml:space="preserve">https://www.moh.gov.sg/others/resources-and-statistics/principal-causes-of-death/</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16.</w:t>
        <w:tab/>
      </w:r>
      <w:r>
        <w:rPr>
          <w:rFonts w:ascii="Arial" w:hAnsi="Arial" w:eastAsia="Arial" w:cs="Arial"/>
          <w:color w:val="242424"/>
          <w:sz w:val="21"/>
          <w:szCs w:val="21"/>
        </w:rPr>
        <w:t xml:space="preserve">Ministry of Health and Health Promotion Board, Singapore. “National Population Health Survey 2024 Report.” Ministry of Health and Health Promotion Board, Singapore, 2025-10-17. </w:t>
      </w:r>
      <w:hyperlink r:id="rId30">
        <w:r>
          <w:rPr>
            <w:rFonts w:ascii="Arial" w:hAnsi="Arial" w:eastAsia="Arial" w:cs="Arial"/>
            <w:color w:val="242424"/>
            <w:sz w:val="21"/>
            <w:szCs w:val="21"/>
          </w:rPr>
          <w:t xml:space="preserve">https://isomer-user-content.by.gov.sg/3/4cad4e62-8093-48de-b0d1-af8e012d4d95/NPHS%202024%20Survey%20Report_Final.pdf</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17.</w:t>
        <w:tab/>
      </w:r>
      <w:r>
        <w:rPr>
          <w:rFonts w:ascii="Arial" w:hAnsi="Arial" w:eastAsia="Arial" w:cs="Arial"/>
          <w:color w:val="242424"/>
          <w:sz w:val="21"/>
          <w:szCs w:val="21"/>
        </w:rPr>
        <w:t xml:space="preserve">Ministry of Health and Health Promotion Board, Singapore. “National Population Health Survey 2025 Report (Household Interview).” Ministry of Health and Health Promotion Board, Singapore, 2026-10-03. </w:t>
      </w:r>
      <w:hyperlink r:id="rId31">
        <w:r>
          <w:rPr>
            <w:rFonts w:ascii="Arial" w:hAnsi="Arial" w:eastAsia="Arial" w:cs="Arial"/>
            <w:color w:val="242424"/>
            <w:sz w:val="21"/>
            <w:szCs w:val="21"/>
          </w:rPr>
          <w:t xml:space="preserve">https://isomer-user-content.by.gov.sg/3/6d240639-e156-403e-bb26-1bdddfe0af6f/NPHS%202025%20Survey%20Report_Final.pdf</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18.</w:t>
        <w:tab/>
      </w:r>
      <w:r>
        <w:rPr>
          <w:rFonts w:ascii="Arial" w:hAnsi="Arial" w:eastAsia="Arial" w:cs="Arial"/>
          <w:color w:val="242424"/>
          <w:sz w:val="21"/>
          <w:szCs w:val="21"/>
        </w:rPr>
        <w:t xml:space="preserve">Ministry of Health, Singapore. “Health Facilities.” Ministry of Health, Singapore. </w:t>
      </w:r>
      <w:hyperlink r:id="rId32">
        <w:r>
          <w:rPr>
            <w:rFonts w:ascii="Arial" w:hAnsi="Arial" w:eastAsia="Arial" w:cs="Arial"/>
            <w:color w:val="242424"/>
            <w:sz w:val="21"/>
            <w:szCs w:val="21"/>
          </w:rPr>
          <w:t xml:space="preserve">https://www.moh.gov.sg/others/resources-and-statistics/health-facilities/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19.</w:t>
        <w:tab/>
      </w:r>
      <w:r>
        <w:rPr>
          <w:rFonts w:ascii="Arial" w:hAnsi="Arial" w:eastAsia="Arial" w:cs="Arial"/>
          <w:color w:val="242424"/>
          <w:sz w:val="21"/>
          <w:szCs w:val="21"/>
        </w:rPr>
        <w:t xml:space="preserve">Ministry of Health, Singapore. “Beds In Inpatient Facilities and Places In Non-Residential Long-Term Care Facilities.” Ministry of Health, Singapore, 2026-08-19. </w:t>
      </w:r>
      <w:hyperlink r:id="rId33">
        <w:r>
          <w:rPr>
            <w:rFonts w:ascii="Arial" w:hAnsi="Arial" w:eastAsia="Arial" w:cs="Arial"/>
            <w:color w:val="242424"/>
            <w:sz w:val="21"/>
            <w:szCs w:val="21"/>
          </w:rPr>
          <w:t xml:space="preserve">https://www.moh.gov.sg/others/resources-and-statistics/beds-in-inpatient-facilities-and-places-in-non-residential-long-term-care-facilities/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20.</w:t>
        <w:tab/>
      </w:r>
      <w:r>
        <w:rPr>
          <w:rFonts w:ascii="Arial" w:hAnsi="Arial" w:eastAsia="Arial" w:cs="Arial"/>
          <w:color w:val="242424"/>
          <w:sz w:val="21"/>
          <w:szCs w:val="21"/>
        </w:rPr>
        <w:t xml:space="preserve">Ministry of Health, Singapore. “Enhancing Quality and Coordination of Care.” Ministry of Health, Singapore, 2026-03-05. </w:t>
      </w:r>
      <w:hyperlink r:id="rId34">
        <w:r>
          <w:rPr>
            <w:rFonts w:ascii="Arial" w:hAnsi="Arial" w:eastAsia="Arial" w:cs="Arial"/>
            <w:color w:val="242424"/>
            <w:sz w:val="21"/>
            <w:szCs w:val="21"/>
          </w:rPr>
          <w:t xml:space="preserve">https://www.moh.gov.sg/newsroom/enhancing-quality-and-coordination-of-care/</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21 to 30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21.</w:t>
        <w:tab/>
      </w:r>
      <w:r>
        <w:rPr>
          <w:rFonts w:ascii="Arial" w:hAnsi="Arial" w:eastAsia="Arial" w:cs="Arial"/>
          <w:color w:val="242424"/>
          <w:sz w:val="21"/>
          <w:szCs w:val="21"/>
        </w:rPr>
        <w:t xml:space="preserve">Ministry of Health, Singapore. “Healthy living: Healthier SG.” Ministry of Health, Singapore, 2025-07-08. </w:t>
      </w:r>
      <w:hyperlink r:id="rId35">
        <w:r>
          <w:rPr>
            <w:rFonts w:ascii="Arial" w:hAnsi="Arial" w:eastAsia="Arial" w:cs="Arial"/>
            <w:color w:val="242424"/>
            <w:sz w:val="21"/>
            <w:szCs w:val="21"/>
          </w:rPr>
          <w:t xml:space="preserve">https://www.moh.gov.sg/staying-healthy/healthy-living/</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22.</w:t>
        <w:tab/>
      </w:r>
      <w:r>
        <w:rPr>
          <w:rFonts w:ascii="Arial" w:hAnsi="Arial" w:eastAsia="Arial" w:cs="Arial"/>
          <w:color w:val="242424"/>
          <w:sz w:val="21"/>
          <w:szCs w:val="21"/>
        </w:rPr>
        <w:t xml:space="preserve">Ministry of Health, Singapore. “Managing medical bills.” Ministry of Health, Singapore, 2024-10-26. </w:t>
      </w:r>
      <w:hyperlink r:id="rId36">
        <w:r>
          <w:rPr>
            <w:rFonts w:ascii="Arial" w:hAnsi="Arial" w:eastAsia="Arial" w:cs="Arial"/>
            <w:color w:val="242424"/>
            <w:sz w:val="21"/>
            <w:szCs w:val="21"/>
          </w:rPr>
          <w:t xml:space="preserve">https://www.moh.gov.sg/managing-expenses/keeping-healthcare-affordable/managing-medical-bills/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23.</w:t>
        <w:tab/>
      </w:r>
      <w:r>
        <w:rPr>
          <w:rFonts w:ascii="Arial" w:hAnsi="Arial" w:eastAsia="Arial" w:cs="Arial"/>
          <w:color w:val="242424"/>
          <w:sz w:val="21"/>
          <w:szCs w:val="21"/>
        </w:rPr>
        <w:t xml:space="preserve">Ministry of Health, Singapore. “Hospital Bills and Fee Benchmarks.” Ministry of Health, Singapore. </w:t>
      </w:r>
      <w:hyperlink r:id="rId37">
        <w:r>
          <w:rPr>
            <w:rFonts w:ascii="Arial" w:hAnsi="Arial" w:eastAsia="Arial" w:cs="Arial"/>
            <w:color w:val="242424"/>
            <w:sz w:val="21"/>
            <w:szCs w:val="21"/>
          </w:rPr>
          <w:t xml:space="preserve">https://www.moh.gov.sg/managing-expenses/bills-and-fee-benchmarks/hospital-bills-and-fee-benchmarks/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24.</w:t>
        <w:tab/>
      </w:r>
      <w:r>
        <w:rPr>
          <w:rFonts w:ascii="Arial" w:hAnsi="Arial" w:eastAsia="Arial" w:cs="Arial"/>
          <w:color w:val="242424"/>
          <w:sz w:val="21"/>
          <w:szCs w:val="21"/>
        </w:rPr>
        <w:t xml:space="preserve">Raffles Medical Group. “International Patient Services.” Raffles Medical Group. </w:t>
      </w:r>
      <w:hyperlink r:id="rId38">
        <w:r>
          <w:rPr>
            <w:rFonts w:ascii="Arial" w:hAnsi="Arial" w:eastAsia="Arial" w:cs="Arial"/>
            <w:color w:val="242424"/>
            <w:sz w:val="21"/>
            <w:szCs w:val="21"/>
          </w:rPr>
          <w:t xml:space="preserve">https://www.rafflesmedicalgroup.com/services/hospital/international-patients/international-patient-services/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25.</w:t>
        <w:tab/>
      </w:r>
      <w:r>
        <w:rPr>
          <w:rFonts w:ascii="Arial" w:hAnsi="Arial" w:eastAsia="Arial" w:cs="Arial"/>
          <w:color w:val="242424"/>
          <w:sz w:val="21"/>
          <w:szCs w:val="21"/>
        </w:rPr>
        <w:t xml:space="preserve">Ministry of Health, Singapore. “Healthcare services regulation and licensing.” Ministry of Health, Singapore. </w:t>
      </w:r>
      <w:hyperlink r:id="rId39">
        <w:r>
          <w:rPr>
            <w:rFonts w:ascii="Arial" w:hAnsi="Arial" w:eastAsia="Arial" w:cs="Arial"/>
            <w:color w:val="242424"/>
            <w:sz w:val="21"/>
            <w:szCs w:val="21"/>
          </w:rPr>
          <w:t xml:space="preserve">https://www.moh.gov.sg/others/health-regulation/healthcare-services-regulation-and-licensing/</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26.</w:t>
        <w:tab/>
      </w:r>
      <w:r>
        <w:rPr>
          <w:rFonts w:ascii="Arial" w:hAnsi="Arial" w:eastAsia="Arial" w:cs="Arial"/>
          <w:color w:val="242424"/>
          <w:sz w:val="21"/>
          <w:szCs w:val="21"/>
        </w:rPr>
        <w:t xml:space="preserve">World Bank. “Current health expenditure per capita (current US$), Singapore (SH.XPD.CHEX.PC.CD).” World Development Indicators, WHO Global Health Expenditure Database. </w:t>
      </w:r>
      <w:hyperlink r:id="rId40">
        <w:r>
          <w:rPr>
            <w:rFonts w:ascii="Arial" w:hAnsi="Arial" w:eastAsia="Arial" w:cs="Arial"/>
            <w:color w:val="242424"/>
            <w:sz w:val="21"/>
            <w:szCs w:val="21"/>
          </w:rPr>
          <w:t xml:space="preserve">https://databank.worldbank.org/reports.aspx?country=SGP&amp;series=SH.XPD.CHEX.PC.CD&amp;source=2</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27.</w:t>
        <w:tab/>
      </w:r>
      <w:r>
        <w:rPr>
          <w:rFonts w:ascii="Arial" w:hAnsi="Arial" w:eastAsia="Arial" w:cs="Arial"/>
          <w:color w:val="242424"/>
          <w:sz w:val="21"/>
          <w:szCs w:val="21"/>
        </w:rPr>
        <w:t xml:space="preserve">Ministry of Health, Singapore. “Government Health Expenditure and Healthcare Financing.” Ministry of Health, Singapore, 2026-07-31. </w:t>
      </w:r>
      <w:hyperlink r:id="rId41">
        <w:r>
          <w:rPr>
            <w:rFonts w:ascii="Arial" w:hAnsi="Arial" w:eastAsia="Arial" w:cs="Arial"/>
            <w:color w:val="242424"/>
            <w:sz w:val="21"/>
            <w:szCs w:val="21"/>
          </w:rPr>
          <w:t xml:space="preserve">https://www.moh.gov.sg/others/resources-and-statistics/government-health-expenditure-and-healthcare-financing/</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28.</w:t>
        <w:tab/>
      </w:r>
      <w:r>
        <w:rPr>
          <w:rFonts w:ascii="Arial" w:hAnsi="Arial" w:eastAsia="Arial" w:cs="Arial"/>
          <w:color w:val="242424"/>
          <w:sz w:val="21"/>
          <w:szCs w:val="21"/>
        </w:rPr>
        <w:t xml:space="preserve">OECD. “Health at a Glance 2025: Indicator overview, country dashboards and major trends, Table 1.6.” OECD, 2025-11-13. </w:t>
      </w:r>
      <w:hyperlink r:id="rId42">
        <w:r>
          <w:rPr>
            <w:rFonts w:ascii="Arial" w:hAnsi="Arial" w:eastAsia="Arial" w:cs="Arial"/>
            <w:color w:val="242424"/>
            <w:sz w:val="21"/>
            <w:szCs w:val="21"/>
          </w:rPr>
          <w:t xml:space="preserve">https://www.oecd.org/en/publications/health-at-a-glance-2025_8f9e3f98-en/full-report/indicator-overview-country-dashboards-and-major-trends_368ac397.html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29.</w:t>
        <w:tab/>
      </w:r>
      <w:r>
        <w:rPr>
          <w:rFonts w:ascii="Arial" w:hAnsi="Arial" w:eastAsia="Arial" w:cs="Arial"/>
          <w:color w:val="242424"/>
          <w:sz w:val="21"/>
          <w:szCs w:val="21"/>
        </w:rPr>
        <w:t xml:space="preserve">Ministry of Health, Singapore. “MediShield Life Scheme Act.” Ministry of Health, Singapore, 2024-10-29. </w:t>
      </w:r>
      <w:hyperlink r:id="rId43">
        <w:r>
          <w:rPr>
            <w:rFonts w:ascii="Arial" w:hAnsi="Arial" w:eastAsia="Arial" w:cs="Arial"/>
            <w:color w:val="242424"/>
            <w:sz w:val="21"/>
            <w:szCs w:val="21"/>
          </w:rPr>
          <w:t xml:space="preserve">https://www.moh.gov.sg/managing-expenses/schemes-and-subsidies/medishield-life/medishield-life-scheme-act/</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30.</w:t>
        <w:tab/>
      </w:r>
      <w:r>
        <w:rPr>
          <w:rFonts w:ascii="Arial" w:hAnsi="Arial" w:eastAsia="Arial" w:cs="Arial"/>
          <w:color w:val="242424"/>
          <w:sz w:val="21"/>
          <w:szCs w:val="21"/>
        </w:rPr>
        <w:t xml:space="preserve">Ministry of Health, Singapore. “Health Manpower.” Ministry of Health, Singapore. </w:t>
      </w:r>
      <w:hyperlink r:id="rId44">
        <w:r>
          <w:rPr>
            <w:rFonts w:ascii="Arial" w:hAnsi="Arial" w:eastAsia="Arial" w:cs="Arial"/>
            <w:color w:val="242424"/>
            <w:sz w:val="21"/>
            <w:szCs w:val="21"/>
          </w:rPr>
          <w:t xml:space="preserve">https://www.moh.gov.sg/others/resources-and-statistics/health-manpower/</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31 to 40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31.</w:t>
        <w:tab/>
      </w:r>
      <w:r>
        <w:rPr>
          <w:rFonts w:ascii="Arial" w:hAnsi="Arial" w:eastAsia="Arial" w:cs="Arial"/>
          <w:color w:val="242424"/>
          <w:sz w:val="21"/>
          <w:szCs w:val="21"/>
        </w:rPr>
        <w:t xml:space="preserve">Ministry of Health, Singapore. “Current Healthcare Workforce Strength Compared Against Projected Service Demand.” Ministry of Health, Singapore, 2026-02-03. </w:t>
      </w:r>
      <w:hyperlink r:id="rId45">
        <w:r>
          <w:rPr>
            <w:rFonts w:ascii="Arial" w:hAnsi="Arial" w:eastAsia="Arial" w:cs="Arial"/>
            <w:color w:val="242424"/>
            <w:sz w:val="21"/>
            <w:szCs w:val="21"/>
          </w:rPr>
          <w:t xml:space="preserve">https://www.moh.gov.sg/newsroom/current-healthcare-workforce-strength-compared-against-projected-service-demand/</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32.</w:t>
        <w:tab/>
      </w:r>
      <w:r>
        <w:rPr>
          <w:rFonts w:ascii="Arial" w:hAnsi="Arial" w:eastAsia="Arial" w:cs="Arial"/>
          <w:color w:val="242424"/>
          <w:sz w:val="21"/>
          <w:szCs w:val="21"/>
        </w:rPr>
        <w:t xml:space="preserve">NUS Yong Loo Lin School of Medicine. “MBBS: Bachelor of Medicine and Bachelor of Surgery.” NUS Yong Loo Lin School of Medicine. </w:t>
      </w:r>
      <w:hyperlink r:id="rId46">
        <w:r>
          <w:rPr>
            <w:rFonts w:ascii="Arial" w:hAnsi="Arial" w:eastAsia="Arial" w:cs="Arial"/>
            <w:color w:val="242424"/>
            <w:sz w:val="21"/>
            <w:szCs w:val="21"/>
          </w:rPr>
          <w:t xml:space="preserve">https://medicine.nus.edu.sg/prospective-students/bachelor-of-medicine-and-bachelor-of-surgery-mbbs/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33.</w:t>
        <w:tab/>
      </w:r>
      <w:r>
        <w:rPr>
          <w:rFonts w:ascii="Arial" w:hAnsi="Arial" w:eastAsia="Arial" w:cs="Arial"/>
          <w:color w:val="242424"/>
          <w:sz w:val="21"/>
          <w:szCs w:val="21"/>
        </w:rPr>
        <w:t xml:space="preserve">Nanyang Technological University, Singapore. “Bachelor of Medicine and Bachelor of Surgery (MBBS).” Nanyang Technological University, Singapore. </w:t>
      </w:r>
      <w:hyperlink r:id="rId47">
        <w:r>
          <w:rPr>
            <w:rFonts w:ascii="Arial" w:hAnsi="Arial" w:eastAsia="Arial" w:cs="Arial"/>
            <w:color w:val="242424"/>
            <w:sz w:val="21"/>
            <w:szCs w:val="21"/>
          </w:rPr>
          <w:t xml:space="preserve">https://www.ntu.edu.sg/education/undergraduate-programme/bachelor-of-medicine-and-bachelor-of-surgery-(mbbs)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34.</w:t>
        <w:tab/>
      </w:r>
      <w:r>
        <w:rPr>
          <w:rFonts w:ascii="Arial" w:hAnsi="Arial" w:eastAsia="Arial" w:cs="Arial"/>
          <w:color w:val="242424"/>
          <w:sz w:val="21"/>
          <w:szCs w:val="21"/>
        </w:rPr>
        <w:t xml:space="preserve">Duke-NUS Medical School. “MD Programme.” Duke-NUS Medical School. </w:t>
      </w:r>
      <w:hyperlink r:id="rId48">
        <w:r>
          <w:rPr>
            <w:rFonts w:ascii="Arial" w:hAnsi="Arial" w:eastAsia="Arial" w:cs="Arial"/>
            <w:color w:val="242424"/>
            <w:sz w:val="21"/>
            <w:szCs w:val="21"/>
          </w:rPr>
          <w:t xml:space="preserve">https://www.duke-nus.edu.sg/education/our-programmes/md-programme</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35.</w:t>
        <w:tab/>
      </w:r>
      <w:r>
        <w:rPr>
          <w:rFonts w:ascii="Arial" w:hAnsi="Arial" w:eastAsia="Arial" w:cs="Arial"/>
          <w:color w:val="242424"/>
          <w:sz w:val="21"/>
          <w:szCs w:val="21"/>
        </w:rPr>
        <w:t xml:space="preserve">Singapore Medical Council. “Provisional registration.” Singapore Medical Council, 2026-09-02. </w:t>
      </w:r>
      <w:hyperlink r:id="rId49">
        <w:r>
          <w:rPr>
            <w:rFonts w:ascii="Arial" w:hAnsi="Arial" w:eastAsia="Arial" w:cs="Arial"/>
            <w:color w:val="242424"/>
            <w:sz w:val="21"/>
            <w:szCs w:val="21"/>
          </w:rPr>
          <w:t xml:space="preserve">https://www.smc.gov.sg/for-professionals/apply-for-registration/provisional-registration/</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36.</w:t>
        <w:tab/>
      </w:r>
      <w:r>
        <w:rPr>
          <w:rFonts w:ascii="Arial" w:hAnsi="Arial" w:eastAsia="Arial" w:cs="Arial"/>
          <w:color w:val="242424"/>
          <w:sz w:val="21"/>
          <w:szCs w:val="21"/>
        </w:rPr>
        <w:t xml:space="preserve">Ministry of Health, Singapore. “Ageing in the community.” Ministry of Health, Singapore, 2026-04-07. </w:t>
      </w:r>
      <w:hyperlink r:id="rId50">
        <w:r>
          <w:rPr>
            <w:rFonts w:ascii="Arial" w:hAnsi="Arial" w:eastAsia="Arial" w:cs="Arial"/>
            <w:color w:val="242424"/>
            <w:sz w:val="21"/>
            <w:szCs w:val="21"/>
          </w:rPr>
          <w:t xml:space="preserve">https://www.moh.gov.sg/ageing-well/ageing-in-the-community/</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37.</w:t>
        <w:tab/>
      </w:r>
      <w:r>
        <w:rPr>
          <w:rFonts w:ascii="Arial" w:hAnsi="Arial" w:eastAsia="Arial" w:cs="Arial"/>
          <w:color w:val="242424"/>
          <w:sz w:val="21"/>
          <w:szCs w:val="21"/>
        </w:rPr>
        <w:t xml:space="preserve">Ministry of Health, Singapore. “Overview of the Health Information Act (HIA).” Health Information Act, Government of Singapore, 2026-10-02. </w:t>
      </w:r>
      <w:hyperlink r:id="rId51">
        <w:r>
          <w:rPr>
            <w:rFonts w:ascii="Arial" w:hAnsi="Arial" w:eastAsia="Arial" w:cs="Arial"/>
            <w:color w:val="242424"/>
            <w:sz w:val="21"/>
            <w:szCs w:val="21"/>
          </w:rPr>
          <w:t xml:space="preserve">https://www.healthinfo.gov.sg/hia/</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38.</w:t>
        <w:tab/>
      </w:r>
      <w:r>
        <w:rPr>
          <w:rFonts w:ascii="Arial" w:hAnsi="Arial" w:eastAsia="Arial" w:cs="Arial"/>
          <w:color w:val="242424"/>
          <w:sz w:val="21"/>
          <w:szCs w:val="21"/>
        </w:rPr>
        <w:t xml:space="preserve">Duke University School of Medicine. “About the Partnership.” Duke University School of Medicine. </w:t>
      </w:r>
      <w:hyperlink r:id="rId52">
        <w:r>
          <w:rPr>
            <w:rFonts w:ascii="Arial" w:hAnsi="Arial" w:eastAsia="Arial" w:cs="Arial"/>
            <w:color w:val="242424"/>
            <w:sz w:val="21"/>
            <w:szCs w:val="21"/>
          </w:rPr>
          <w:t xml:space="preserve">https://medschool.duke.edu/education/international-experiences/office-duke-nus-affairs/about-partnership</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39.</w:t>
        <w:tab/>
      </w:r>
      <w:r>
        <w:rPr>
          <w:rFonts w:ascii="Arial" w:hAnsi="Arial" w:eastAsia="Arial" w:cs="Arial"/>
          <w:color w:val="242424"/>
          <w:sz w:val="21"/>
          <w:szCs w:val="21"/>
        </w:rPr>
        <w:t xml:space="preserve">SingHealth. “National Heart Centre Singapore and Mayo Clinic to Advance Cardiovascular Care and Research.” SingHealth, 2025-06-20. </w:t>
      </w:r>
      <w:hyperlink r:id="rId53">
        <w:r>
          <w:rPr>
            <w:rFonts w:ascii="Arial" w:hAnsi="Arial" w:eastAsia="Arial" w:cs="Arial"/>
            <w:color w:val="242424"/>
            <w:sz w:val="21"/>
            <w:szCs w:val="21"/>
          </w:rPr>
          <w:t xml:space="preserve">https://www.singhealth.com.sg/news/announcements/nhcs-and-mayo-clinic-to-advance-cardiovascular-care-and-research</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40.</w:t>
        <w:tab/>
      </w:r>
      <w:r>
        <w:rPr>
          <w:rFonts w:ascii="Arial" w:hAnsi="Arial" w:eastAsia="Arial" w:cs="Arial"/>
          <w:color w:val="242424"/>
          <w:sz w:val="21"/>
          <w:szCs w:val="21"/>
        </w:rPr>
        <w:t xml:space="preserve">Shishira Sreenivas. “Cedars-Sinai Guerin Children's Launches Multinational Genomics Study for NICU Babies.” Cedars-Sinai, 2026-01-20. </w:t>
      </w:r>
      <w:hyperlink r:id="rId54">
        <w:r>
          <w:rPr>
            <w:rFonts w:ascii="Arial" w:hAnsi="Arial" w:eastAsia="Arial" w:cs="Arial"/>
            <w:color w:val="242424"/>
            <w:sz w:val="21"/>
            <w:szCs w:val="21"/>
          </w:rPr>
          <w:t xml:space="preserve">https://www.cedars-sinai.org/newsroom/cedars-sinai-guerin-childrens-launches-multinational-genomics-study-for-nicu-babies/</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41 to 50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41.</w:t>
        <w:tab/>
      </w:r>
      <w:r>
        <w:rPr>
          <w:rFonts w:ascii="Arial" w:hAnsi="Arial" w:eastAsia="Arial" w:cs="Arial"/>
          <w:color w:val="242424"/>
          <w:sz w:val="21"/>
          <w:szCs w:val="21"/>
        </w:rPr>
        <w:t xml:space="preserve">Yeo MM; Casey PJ; Williams RS; Vogel S; James ML. “Fostering Global Research Collaborations: An Update on Duke-NUS Medical School, the Duke University and National University of Singapore Partnership.” Duke University / Academic Medicine, 2025-07-01. </w:t>
      </w:r>
      <w:hyperlink r:id="rId55">
        <w:r>
          <w:rPr>
            <w:rFonts w:ascii="Arial" w:hAnsi="Arial" w:eastAsia="Arial" w:cs="Arial"/>
            <w:color w:val="242424"/>
            <w:sz w:val="21"/>
            <w:szCs w:val="21"/>
          </w:rPr>
          <w:t xml:space="preserve">https://scholars.duke.edu/publication/1667513</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42.</w:t>
        <w:tab/>
      </w:r>
      <w:r>
        <w:rPr>
          <w:rFonts w:ascii="Arial" w:hAnsi="Arial" w:eastAsia="Arial" w:cs="Arial"/>
          <w:color w:val="242424"/>
          <w:sz w:val="21"/>
          <w:szCs w:val="21"/>
        </w:rPr>
        <w:t xml:space="preserve">National University of Singapore. “Duke and NUS reaffirm commitment to Duke-NUS partnership with agreement renewal.” National University of Singapore, 2022-10-14. </w:t>
      </w:r>
      <w:hyperlink r:id="rId56">
        <w:r>
          <w:rPr>
            <w:rFonts w:ascii="Arial" w:hAnsi="Arial" w:eastAsia="Arial" w:cs="Arial"/>
            <w:color w:val="242424"/>
            <w:sz w:val="21"/>
            <w:szCs w:val="21"/>
          </w:rPr>
          <w:t xml:space="preserve">https://news.nus.edu.sg/duke-and-nus-reaffirm-commitment-to-duke-nus-partnership-with-agreement-renewal/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43.</w:t>
        <w:tab/>
      </w:r>
      <w:r>
        <w:rPr>
          <w:rFonts w:ascii="Arial" w:hAnsi="Arial" w:eastAsia="Arial" w:cs="Arial"/>
          <w:color w:val="242424"/>
          <w:sz w:val="21"/>
          <w:szCs w:val="21"/>
        </w:rPr>
        <w:t xml:space="preserve">NUS Medicine. “NUS Yong Loo Lin School of Medicine and Harvard T.H. Chan School of Public Health Launch Women’s Health Initiative.” NUS Medicine, 2025-03-25. </w:t>
      </w:r>
      <w:hyperlink r:id="rId57">
        <w:r>
          <w:rPr>
            <w:rFonts w:ascii="Arial" w:hAnsi="Arial" w:eastAsia="Arial" w:cs="Arial"/>
            <w:color w:val="242424"/>
            <w:sz w:val="21"/>
            <w:szCs w:val="21"/>
          </w:rPr>
          <w:t xml:space="preserve">https://medicine.nus.edu.sg/news/nus-yong-loo-lin-school-of-medicine-and-harvard-t-h-chan-school-of-public-health-launch-womens-health-initiative/</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44.</w:t>
        <w:tab/>
      </w:r>
      <w:r>
        <w:rPr>
          <w:rFonts w:ascii="Arial" w:hAnsi="Arial" w:eastAsia="Arial" w:cs="Arial"/>
          <w:color w:val="242424"/>
          <w:sz w:val="21"/>
          <w:szCs w:val="21"/>
        </w:rPr>
        <w:t xml:space="preserve">Harvard T.H. Chan School of Public Health. “Women's Health Conference 2026.” Harvard T.H. Chan School of Public Health, 2026-09-30. </w:t>
      </w:r>
      <w:hyperlink r:id="rId58">
        <w:r>
          <w:rPr>
            <w:rFonts w:ascii="Arial" w:hAnsi="Arial" w:eastAsia="Arial" w:cs="Arial"/>
            <w:color w:val="242424"/>
            <w:sz w:val="21"/>
            <w:szCs w:val="21"/>
          </w:rPr>
          <w:t xml:space="preserve">https://hsph.harvard.edu/nutrition/events/womens-health-conference-2026/</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45.</w:t>
        <w:tab/>
      </w:r>
      <w:r>
        <w:rPr>
          <w:rFonts w:ascii="Arial" w:hAnsi="Arial" w:eastAsia="Arial" w:cs="Arial"/>
          <w:color w:val="242424"/>
          <w:sz w:val="21"/>
          <w:szCs w:val="21"/>
        </w:rPr>
        <w:t xml:space="preserve">SingHealth. “SingHealth Launches Global Network for World-Class Healthcare Administrator Immersion and Development.” PR Newswire, 2026-08-12. </w:t>
      </w:r>
      <w:hyperlink r:id="rId59">
        <w:r>
          <w:rPr>
            <w:rFonts w:ascii="Arial" w:hAnsi="Arial" w:eastAsia="Arial" w:cs="Arial"/>
            <w:color w:val="242424"/>
            <w:sz w:val="21"/>
            <w:szCs w:val="21"/>
          </w:rPr>
          <w:t xml:space="preserve">https://www.prnewswire.com/apac/news-releases/singhealth-launches-global-network-for-world-class-healthcare-administrator-immersion-and-development-302849472.html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46.</w:t>
        <w:tab/>
      </w:r>
      <w:r>
        <w:rPr>
          <w:rFonts w:ascii="Arial" w:hAnsi="Arial" w:eastAsia="Arial" w:cs="Arial"/>
          <w:color w:val="242424"/>
          <w:sz w:val="21"/>
          <w:szCs w:val="21"/>
        </w:rPr>
        <w:t xml:space="preserve">SingHealth Academy. “Singapore Healthcare Management 2026: Programme.” SingHealth Academy, 2026-08. </w:t>
      </w:r>
      <w:hyperlink r:id="rId60">
        <w:r>
          <w:rPr>
            <w:rFonts w:ascii="Arial" w:hAnsi="Arial" w:eastAsia="Arial" w:cs="Arial"/>
            <w:color w:val="242424"/>
            <w:sz w:val="21"/>
            <w:szCs w:val="21"/>
          </w:rPr>
          <w:t xml:space="preserve">https://www.singhealthacademy.edu.sg/singapore-healthcare-management/shm2026/programme</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47.</w:t>
        <w:tab/>
      </w:r>
      <w:r>
        <w:rPr>
          <w:rFonts w:ascii="Arial" w:hAnsi="Arial" w:eastAsia="Arial" w:cs="Arial"/>
          <w:color w:val="242424"/>
          <w:sz w:val="21"/>
          <w:szCs w:val="21"/>
        </w:rPr>
        <w:t xml:space="preserve">SingHealth. “SingHealth Launches Global Network for World-Class Healthcare Administrator Immersion and Development.” PR Newswire (SingHealth-issued release), 2026-08-12. </w:t>
      </w:r>
      <w:hyperlink r:id="rId61">
        <w:r>
          <w:rPr>
            <w:rFonts w:ascii="Arial" w:hAnsi="Arial" w:eastAsia="Arial" w:cs="Arial"/>
            <w:color w:val="242424"/>
            <w:sz w:val="21"/>
            <w:szCs w:val="21"/>
          </w:rPr>
          <w:t xml:space="preserve">https://en.prnasia.com/releases/apac/singhealth-launches-global-network-for-world-class-healthcare-administrator-immersion-and-development-543763.shtml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48.</w:t>
        <w:tab/>
      </w:r>
      <w:r>
        <w:rPr>
          <w:rFonts w:ascii="Arial" w:hAnsi="Arial" w:eastAsia="Arial" w:cs="Arial"/>
          <w:color w:val="242424"/>
          <w:sz w:val="21"/>
          <w:szCs w:val="21"/>
        </w:rPr>
        <w:t xml:space="preserve">Michigan Medicine. “Giving to the CSI Singapore-Rogel Cancer Center partnership.” Michigan Medicine. </w:t>
      </w:r>
      <w:hyperlink r:id="rId62">
        <w:r>
          <w:rPr>
            <w:rFonts w:ascii="Arial" w:hAnsi="Arial" w:eastAsia="Arial" w:cs="Arial"/>
            <w:color w:val="242424"/>
            <w:sz w:val="21"/>
            <w:szCs w:val="21"/>
          </w:rPr>
          <w:t xml:space="preserve">https://www.michiganmedicine.org/giving/areas-support/giving-csi-singapore-rogel-cancer-center-partnership</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49.</w:t>
        <w:tab/>
      </w:r>
      <w:r>
        <w:rPr>
          <w:rFonts w:ascii="Arial" w:hAnsi="Arial" w:eastAsia="Arial" w:cs="Arial"/>
          <w:color w:val="242424"/>
          <w:sz w:val="21"/>
          <w:szCs w:val="21"/>
        </w:rPr>
        <w:t xml:space="preserve">Nicole Fawcett. “U-M to partner with Singapore hospital, cancer center.” Michigan Medicine, 2023-06-26. </w:t>
      </w:r>
      <w:hyperlink r:id="rId63">
        <w:r>
          <w:rPr>
            <w:rFonts w:ascii="Arial" w:hAnsi="Arial" w:eastAsia="Arial" w:cs="Arial"/>
            <w:color w:val="242424"/>
            <w:sz w:val="21"/>
            <w:szCs w:val="21"/>
          </w:rPr>
          <w:t xml:space="preserve">https://www.michiganmedicine.org/news-release/u-m-partner-singapore-hospital-cancer-center</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50.</w:t>
        <w:tab/>
      </w:r>
      <w:r>
        <w:rPr>
          <w:rFonts w:ascii="Arial" w:hAnsi="Arial" w:eastAsia="Arial" w:cs="Arial"/>
          <w:color w:val="242424"/>
          <w:sz w:val="21"/>
          <w:szCs w:val="21"/>
        </w:rPr>
        <w:t xml:space="preserve">University of Michigan Medical School. “Growing collaborations, partnerships in Singapore.” University of Michigan Medical School, 2023-05-15. </w:t>
      </w:r>
      <w:hyperlink r:id="rId64">
        <w:r>
          <w:rPr>
            <w:rFonts w:ascii="Arial" w:hAnsi="Arial" w:eastAsia="Arial" w:cs="Arial"/>
            <w:color w:val="242424"/>
            <w:sz w:val="21"/>
            <w:szCs w:val="21"/>
          </w:rPr>
          <w:t xml:space="preserve">https://medschool.umich.edu/medical-school-news/growing-collaborations-partnerships-singapore</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51 to 60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51.</w:t>
        <w:tab/>
      </w:r>
      <w:r>
        <w:rPr>
          <w:rFonts w:ascii="Arial" w:hAnsi="Arial" w:eastAsia="Arial" w:cs="Arial"/>
          <w:color w:val="242424"/>
          <w:sz w:val="21"/>
          <w:szCs w:val="21"/>
        </w:rPr>
        <w:t xml:space="preserve">American Society of Hematology. “ASH Annual Meeting and Exposition: Past Annual Meetings.” American Society of Hematology. </w:t>
      </w:r>
      <w:hyperlink r:id="rId65">
        <w:r>
          <w:rPr>
            <w:rFonts w:ascii="Arial" w:hAnsi="Arial" w:eastAsia="Arial" w:cs="Arial"/>
            <w:color w:val="242424"/>
            <w:sz w:val="21"/>
            <w:szCs w:val="21"/>
          </w:rPr>
          <w:t xml:space="preserve">https://www.hematology.org/meetings/annual-meeting?ID=102850</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52.</w:t>
        <w:tab/>
      </w:r>
      <w:r>
        <w:rPr>
          <w:rFonts w:ascii="Arial" w:hAnsi="Arial" w:eastAsia="Arial" w:cs="Arial"/>
          <w:color w:val="242424"/>
          <w:sz w:val="21"/>
          <w:szCs w:val="21"/>
        </w:rPr>
        <w:t xml:space="preserve">College of Family Physicians Singapore. “Annual Report 2024-2025, CFPS-Starry Night Foundation Mount Sinai Leadership Programme 2024.” College of Family Physicians Singapore, 2025. </w:t>
      </w:r>
      <w:hyperlink r:id="rId66">
        <w:r>
          <w:rPr>
            <w:rFonts w:ascii="Arial" w:hAnsi="Arial" w:eastAsia="Arial" w:cs="Arial"/>
            <w:color w:val="242424"/>
            <w:sz w:val="21"/>
            <w:szCs w:val="21"/>
          </w:rPr>
          <w:t xml:space="preserve">https://www.cfps.org.sg/assets/Annual-Report/AR-2024-2025/CFPS-AnnReport2025.pdf</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53.</w:t>
        <w:tab/>
      </w:r>
      <w:r>
        <w:rPr>
          <w:rFonts w:ascii="Arial" w:hAnsi="Arial" w:eastAsia="Arial" w:cs="Arial"/>
          <w:color w:val="242424"/>
          <w:sz w:val="21"/>
          <w:szCs w:val="21"/>
        </w:rPr>
        <w:t xml:space="preserve">College of Family Physicians Singapore. “The College Mirror, December 2024: Launch of the SNF-CFPS Leadership Programme.” College of Family Physicians Singapore, 2024-12. </w:t>
      </w:r>
      <w:hyperlink r:id="rId67">
        <w:r>
          <w:rPr>
            <w:rFonts w:ascii="Arial" w:hAnsi="Arial" w:eastAsia="Arial" w:cs="Arial"/>
            <w:color w:val="242424"/>
            <w:sz w:val="21"/>
            <w:szCs w:val="21"/>
          </w:rPr>
          <w:t xml:space="preserve">https://www.cfps.org.sg/publications/the-college-mirror/download/124</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54.</w:t>
        <w:tab/>
      </w:r>
      <w:r>
        <w:rPr>
          <w:rFonts w:ascii="Arial" w:hAnsi="Arial" w:eastAsia="Arial" w:cs="Arial"/>
          <w:color w:val="242424"/>
          <w:sz w:val="21"/>
          <w:szCs w:val="21"/>
        </w:rPr>
        <w:t xml:space="preserve">Mount Sinai Health System. “Education and Training Programs.” Mount Sinai Health System. </w:t>
      </w:r>
      <w:hyperlink r:id="rId68">
        <w:r>
          <w:rPr>
            <w:rFonts w:ascii="Arial" w:hAnsi="Arial" w:eastAsia="Arial" w:cs="Arial"/>
            <w:color w:val="242424"/>
            <w:sz w:val="21"/>
            <w:szCs w:val="21"/>
          </w:rPr>
          <w:t xml:space="preserve">https://www.mountsinai.org/about/international/programs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55.</w:t>
        <w:tab/>
      </w:r>
      <w:r>
        <w:rPr>
          <w:rFonts w:ascii="Arial" w:hAnsi="Arial" w:eastAsia="Arial" w:cs="Arial"/>
          <w:color w:val="242424"/>
          <w:sz w:val="21"/>
          <w:szCs w:val="21"/>
        </w:rPr>
        <w:t xml:space="preserve">Singapore National Eye Centre. “SNEC, SERI and Stanford University partner to boost ophthalmology education, clinical care and research.” Singapore National Eye Centre, 2024-11-12. </w:t>
      </w:r>
      <w:hyperlink r:id="rId69">
        <w:r>
          <w:rPr>
            <w:rFonts w:ascii="Arial" w:hAnsi="Arial" w:eastAsia="Arial" w:cs="Arial"/>
            <w:color w:val="242424"/>
            <w:sz w:val="21"/>
            <w:szCs w:val="21"/>
          </w:rPr>
          <w:t xml:space="preserve">https://www.snec.com.sg/news/announcements/snec-seri-and-stanford-university-partner-to-boost-ophthalmology-education-clinical-care-and-research</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56.</w:t>
        <w:tab/>
      </w:r>
      <w:r>
        <w:rPr>
          <w:rFonts w:ascii="Arial" w:hAnsi="Arial" w:eastAsia="Arial" w:cs="Arial"/>
          <w:color w:val="242424"/>
          <w:sz w:val="21"/>
          <w:szCs w:val="21"/>
        </w:rPr>
        <w:t xml:space="preserve">Stanford Medicine. “Singapore Biodesign: Eleven Years of Growth Culminates in Prestigious Affiliate Status.” Stanford Medicine, 2021. </w:t>
      </w:r>
      <w:hyperlink r:id="rId70">
        <w:r>
          <w:rPr>
            <w:rFonts w:ascii="Arial" w:hAnsi="Arial" w:eastAsia="Arial" w:cs="Arial"/>
            <w:color w:val="242424"/>
            <w:sz w:val="21"/>
            <w:szCs w:val="21"/>
          </w:rPr>
          <w:t xml:space="preserve">https://biodesign.stanford.edu/our-impact/stories/singapore-biodesign-affiliate-status.html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57.</w:t>
        <w:tab/>
      </w:r>
      <w:r>
        <w:rPr>
          <w:rFonts w:ascii="Arial" w:hAnsi="Arial" w:eastAsia="Arial" w:cs="Arial"/>
          <w:color w:val="242424"/>
          <w:sz w:val="21"/>
          <w:szCs w:val="21"/>
        </w:rPr>
        <w:t xml:space="preserve">A*STAR. “Singapore Biodesign Partnerships.” A*STAR, 2024-06-28. </w:t>
      </w:r>
      <w:hyperlink r:id="rId71">
        <w:r>
          <w:rPr>
            <w:rFonts w:ascii="Arial" w:hAnsi="Arial" w:eastAsia="Arial" w:cs="Arial"/>
            <w:color w:val="242424"/>
            <w:sz w:val="21"/>
            <w:szCs w:val="21"/>
          </w:rPr>
          <w:t xml:space="preserve">https://www.a-star.edu.sg/sb/community_events/partnerships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58.</w:t>
        <w:tab/>
      </w:r>
      <w:r>
        <w:rPr>
          <w:rFonts w:ascii="Arial" w:hAnsi="Arial" w:eastAsia="Arial" w:cs="Arial"/>
          <w:color w:val="242424"/>
          <w:sz w:val="21"/>
          <w:szCs w:val="21"/>
        </w:rPr>
        <w:t xml:space="preserve">Stanford Medicine. “A global education.” Stanford Medicine, 2025. </w:t>
      </w:r>
      <w:hyperlink r:id="rId72">
        <w:r>
          <w:rPr>
            <w:rFonts w:ascii="Arial" w:hAnsi="Arial" w:eastAsia="Arial" w:cs="Arial"/>
            <w:color w:val="242424"/>
            <w:sz w:val="21"/>
            <w:szCs w:val="21"/>
          </w:rPr>
          <w:t xml:space="preserve">https://med.stanford.edu/ophthalmology/news-media/annual-reports/annualreport2025/a-global-education.html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59.</w:t>
        <w:tab/>
      </w:r>
      <w:r>
        <w:rPr>
          <w:rFonts w:ascii="Arial" w:hAnsi="Arial" w:eastAsia="Arial" w:cs="Arial"/>
          <w:color w:val="242424"/>
          <w:sz w:val="21"/>
          <w:szCs w:val="21"/>
        </w:rPr>
        <w:t xml:space="preserve">CUHK Medical Centre. “CUHK Medical Centre Joins Global SingHealth Fellowship Network - Empowering Healthcare Leaders Through Cross-Border Immersion and Exchange.” CUHK Medical Centre, 2026-08-14. </w:t>
      </w:r>
      <w:hyperlink r:id="rId73">
        <w:r>
          <w:rPr>
            <w:rFonts w:ascii="Arial" w:hAnsi="Arial" w:eastAsia="Arial" w:cs="Arial"/>
            <w:color w:val="242424"/>
            <w:sz w:val="21"/>
            <w:szCs w:val="21"/>
          </w:rPr>
          <w:t xml:space="preserve">https://www.cuhkmc.hk/event/cuhk-medical-centre-joins-global-singhealth-fellowship-network-empowering-healthcare-leaders-through-cross-border-immersion-and-exchange</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60.</w:t>
        <w:tab/>
      </w:r>
      <w:r>
        <w:rPr>
          <w:rFonts w:ascii="Arial" w:hAnsi="Arial" w:eastAsia="Arial" w:cs="Arial"/>
          <w:color w:val="242424"/>
          <w:sz w:val="21"/>
          <w:szCs w:val="21"/>
        </w:rPr>
        <w:t xml:space="preserve">Nanyang Technological University. “Programme Specification for the Five-Year Joint Imperial-NTU (LKCMedicine) MBBS Degree Programme, AY2025-26.” Nanyang Technological University, 2025-06. </w:t>
      </w:r>
      <w:hyperlink r:id="rId74">
        <w:r>
          <w:rPr>
            <w:rFonts w:ascii="Arial" w:hAnsi="Arial" w:eastAsia="Arial" w:cs="Arial"/>
            <w:color w:val="242424"/>
            <w:sz w:val="21"/>
            <w:szCs w:val="21"/>
          </w:rPr>
          <w:t xml:space="preserve">https://www.ntu.edu.sg/docs/librariesprovider77/lkc-mbbs/programme-specification-of-imperial-ntu-mbbs-(years-3-5)-for-ay2025-26.pdf?sfvrsn=3a6e7785_1</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61 to 70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61.</w:t>
        <w:tab/>
      </w:r>
      <w:r>
        <w:rPr>
          <w:rFonts w:ascii="Arial" w:hAnsi="Arial" w:eastAsia="Arial" w:cs="Arial"/>
          <w:color w:val="242424"/>
          <w:sz w:val="21"/>
          <w:szCs w:val="21"/>
        </w:rPr>
        <w:t xml:space="preserve">Stephen Johns and Deborah Evanson. “Imperial and NTU Singapore explore new collaborations after LKCMedicine success.” Imperial College London, 2022-04-11. </w:t>
      </w:r>
      <w:hyperlink r:id="rId75">
        <w:r>
          <w:rPr>
            <w:rFonts w:ascii="Arial" w:hAnsi="Arial" w:eastAsia="Arial" w:cs="Arial"/>
            <w:color w:val="242424"/>
            <w:sz w:val="21"/>
            <w:szCs w:val="21"/>
          </w:rPr>
          <w:t xml:space="preserve">https://www.imperial.ac.uk/news/235334/imperial-ntu-singapore-explore-collaborations-after/</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62.</w:t>
        <w:tab/>
      </w:r>
      <w:r>
        <w:rPr>
          <w:rFonts w:ascii="Arial" w:hAnsi="Arial" w:eastAsia="Arial" w:cs="Arial"/>
          <w:color w:val="242424"/>
          <w:sz w:val="21"/>
          <w:szCs w:val="21"/>
        </w:rPr>
        <w:t xml:space="preserve">Karolinska University Hospital. “SingHealth Delegation Visits Karolinska University Hospital to Shape the Future of Sustainable Healthcare.” Karolinska University Hospital, 2024-10-23. </w:t>
      </w:r>
      <w:hyperlink r:id="rId76">
        <w:r>
          <w:rPr>
            <w:rFonts w:ascii="Arial" w:hAnsi="Arial" w:eastAsia="Arial" w:cs="Arial"/>
            <w:color w:val="242424"/>
            <w:sz w:val="21"/>
            <w:szCs w:val="21"/>
          </w:rPr>
          <w:t xml:space="preserve">https://www.karolinskahospital.com/news/singhealth-delegation-visits-karolinska-university-hospital-to-shape-the-future-of-sustainable-healthcare/</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63.</w:t>
        <w:tab/>
      </w:r>
      <w:r>
        <w:rPr>
          <w:rFonts w:ascii="Arial" w:hAnsi="Arial" w:eastAsia="Arial" w:cs="Arial"/>
          <w:color w:val="242424"/>
          <w:sz w:val="21"/>
          <w:szCs w:val="21"/>
        </w:rPr>
        <w:t xml:space="preserve">National Cancer Center Japan. “Advancing Cancer Care Across Asia: NCCH and NCCS Expand Collaboration in Clinical Research, Professional Exchange, and Education.” National Cancer Center Japan, 2026-07-29. </w:t>
      </w:r>
      <w:hyperlink r:id="rId77">
        <w:r>
          <w:rPr>
            <w:rFonts w:ascii="Arial" w:hAnsi="Arial" w:eastAsia="Arial" w:cs="Arial"/>
            <w:color w:val="242424"/>
            <w:sz w:val="21"/>
            <w:szCs w:val="21"/>
          </w:rPr>
          <w:t xml:space="preserve">https://www.ncc.go.jp/en/information/2026/0729/index.html</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64.</w:t>
        <w:tab/>
      </w:r>
      <w:r>
        <w:rPr>
          <w:rFonts w:ascii="Arial" w:hAnsi="Arial" w:eastAsia="Arial" w:cs="Arial"/>
          <w:color w:val="242424"/>
          <w:sz w:val="21"/>
          <w:szCs w:val="21"/>
        </w:rPr>
        <w:t xml:space="preserve">National University Health System. “The National University Hospital and Ruijin Hospital, Shanghai Jiao Tong University School of Medicine establish key partnership for collaborative healthcare innovations.” National University Health System, 2025-10-15. </w:t>
      </w:r>
      <w:hyperlink r:id="rId78">
        <w:r>
          <w:rPr>
            <w:rFonts w:ascii="Arial" w:hAnsi="Arial" w:eastAsia="Arial" w:cs="Arial"/>
            <w:color w:val="242424"/>
            <w:sz w:val="21"/>
            <w:szCs w:val="21"/>
          </w:rPr>
          <w:t xml:space="preserve">https://www.nuhs.edu.sg/about-nuhs/news-and-stories/news-and-stories-details/the-national-university-hospital-and-ruijin-hospital--shanghai-jiao-tong-university-school-of-medicine-establish-key-partnership-for-collaborative-healthcare-innovations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65.</w:t>
        <w:tab/>
      </w:r>
      <w:r>
        <w:rPr>
          <w:rFonts w:ascii="Arial" w:hAnsi="Arial" w:eastAsia="Arial" w:cs="Arial"/>
          <w:color w:val="242424"/>
          <w:sz w:val="21"/>
          <w:szCs w:val="21"/>
        </w:rPr>
        <w:t xml:space="preserve">Shanghai Jiao Tong University School of Medicine. “SJTUSM Delegation Led by Vice Chancellor Zheng Junke Visited Singapore.” Shanghai Jiao Tong University School of Medicine, 2024-12-08. </w:t>
      </w:r>
      <w:hyperlink r:id="rId79">
        <w:r>
          <w:rPr>
            <w:rFonts w:ascii="Arial" w:hAnsi="Arial" w:eastAsia="Arial" w:cs="Arial"/>
            <w:color w:val="242424"/>
            <w:sz w:val="21"/>
            <w:szCs w:val="21"/>
          </w:rPr>
          <w:t xml:space="preserve">https://www.shsmu.edu.cn/english/info/1375/5041.htm</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66.</w:t>
        <w:tab/>
      </w:r>
      <w:r>
        <w:rPr>
          <w:rFonts w:ascii="Arial" w:hAnsi="Arial" w:eastAsia="Arial" w:cs="Arial"/>
          <w:color w:val="242424"/>
          <w:sz w:val="21"/>
          <w:szCs w:val="21"/>
        </w:rPr>
        <w:t xml:space="preserve">NUS Medicine. “11th NUS-Cambridge Joint Symposium on Climate and Heat Health – Confronting Global Challenges Amidst Escalating Temperatures.” NUS Medicine, 2024-11-08. </w:t>
      </w:r>
      <w:hyperlink r:id="rId80">
        <w:r>
          <w:rPr>
            <w:rFonts w:ascii="Arial" w:hAnsi="Arial" w:eastAsia="Arial" w:cs="Arial"/>
            <w:color w:val="242424"/>
            <w:sz w:val="21"/>
            <w:szCs w:val="21"/>
          </w:rPr>
          <w:t xml:space="preserve">https://medicine.nus.edu.sg/news/11th-nus-cambridge-joint-symposium-on-climate-and-heat-health-confronting-global-challenges-amidst-escalating-temperatures/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67.</w:t>
        <w:tab/>
      </w:r>
      <w:r>
        <w:rPr>
          <w:rFonts w:ascii="Arial" w:hAnsi="Arial" w:eastAsia="Arial" w:cs="Arial"/>
          <w:color w:val="242424"/>
          <w:sz w:val="21"/>
          <w:szCs w:val="21"/>
        </w:rPr>
        <w:t xml:space="preserve">NUS Medicine. “11th NUS-Cambridge Joint Symposium: Climate and Heat-Health.” NUS Medicine, 2024-11-05. </w:t>
      </w:r>
      <w:hyperlink r:id="rId81">
        <w:r>
          <w:rPr>
            <w:rFonts w:ascii="Arial" w:hAnsi="Arial" w:eastAsia="Arial" w:cs="Arial"/>
            <w:color w:val="242424"/>
            <w:sz w:val="21"/>
            <w:szCs w:val="21"/>
          </w:rPr>
          <w:t xml:space="preserve">https://medicine.nus.edu.sg/trp/human-potential/events/nus-cambridge-joint-symposium-climate-and-heat-health/</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68.</w:t>
        <w:tab/>
      </w:r>
      <w:r>
        <w:rPr>
          <w:rFonts w:ascii="Arial" w:hAnsi="Arial" w:eastAsia="Arial" w:cs="Arial"/>
          <w:color w:val="242424"/>
          <w:sz w:val="21"/>
          <w:szCs w:val="21"/>
        </w:rPr>
        <w:t xml:space="preserve">Good Clinical Trials Collaborative. “Good Trials Prism Partners Forum convenes in Switzerland.” Good Clinical Trials Collaborative, 2025-01-30. </w:t>
      </w:r>
      <w:hyperlink r:id="rId82">
        <w:r>
          <w:rPr>
            <w:rFonts w:ascii="Arial" w:hAnsi="Arial" w:eastAsia="Arial" w:cs="Arial"/>
            <w:color w:val="242424"/>
            <w:sz w:val="21"/>
            <w:szCs w:val="21"/>
          </w:rPr>
          <w:t xml:space="preserve">https://www.goodtrials.org/good-trials-prism-partners-forum-convenes-in-switzerland/</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69.</w:t>
        <w:tab/>
      </w:r>
      <w:r>
        <w:rPr>
          <w:rFonts w:ascii="Arial" w:hAnsi="Arial" w:eastAsia="Arial" w:cs="Arial"/>
          <w:color w:val="242424"/>
          <w:sz w:val="21"/>
          <w:szCs w:val="21"/>
        </w:rPr>
        <w:t xml:space="preserve">Good Clinical Trials Collaborative. “The Collaborative joins forces with leading clinical trial networks to improve clinical research in low resource settings.” Good Clinical Trials Collaborative, 2023-08-10. </w:t>
      </w:r>
      <w:hyperlink r:id="rId83">
        <w:r>
          <w:rPr>
            <w:rFonts w:ascii="Arial" w:hAnsi="Arial" w:eastAsia="Arial" w:cs="Arial"/>
            <w:color w:val="242424"/>
            <w:sz w:val="21"/>
            <w:szCs w:val="21"/>
          </w:rPr>
          <w:t xml:space="preserve">https://www.goodtrials.org/the-collaborative-joins-forces-with-leading-clinical-trial-networks-to-improve-clinical-research-in-low-resource-settings/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70.</w:t>
        <w:tab/>
      </w:r>
      <w:r>
        <w:rPr>
          <w:rFonts w:ascii="Arial" w:hAnsi="Arial" w:eastAsia="Arial" w:cs="Arial"/>
          <w:color w:val="242424"/>
          <w:sz w:val="21"/>
          <w:szCs w:val="21"/>
        </w:rPr>
        <w:t xml:space="preserve">National University of Singapore, Saw Swee Hock School of Public Health. “ADVANcing Clinical Evidence in Infectious Diseases (ADVANCE-ID).” National University of Singapore, Saw Swee Hock School of Public Health. </w:t>
      </w:r>
      <w:hyperlink r:id="rId84">
        <w:r>
          <w:rPr>
            <w:rFonts w:ascii="Arial" w:hAnsi="Arial" w:eastAsia="Arial" w:cs="Arial"/>
            <w:color w:val="242424"/>
            <w:sz w:val="21"/>
            <w:szCs w:val="21"/>
          </w:rPr>
          <w:t xml:space="preserve">https://sph.nus.edu.sg/news/advancing-clinical-evidence-in-infectious-diseases-advance-id/</w:t>
        </w:r>
      </w:hyperlink>
    </w:p>
    <w:p>
      <w:pPr>
        <w:spacing w:before="0" w:after="0" w:line="20" w:lineRule="exact"/>
      </w:pPr>
      <w:r>
        <w:rPr>
          <w:rFonts w:ascii="Arial" w:hAnsi="Arial" w:eastAsia="Arial" w:cs="Arial"/>
          <w:color w:val="242424"/>
          <w:sz w:val="2"/>
          <w:szCs w:val="2"/>
        </w:rPr>
        <w:br w:type="page"/>
      </w: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Sources continued</w:t>
      </w:r>
    </w:p>
    <w:p>
      <w:pPr>
        <w:keepLines/>
        <w:widowControl/>
        <w:spacing w:before="0" w:after="160" w:line="228" w:lineRule="exact"/>
        <w:ind w:left="0" w:firstLine="0" w:right="0"/>
        <w:jc w:val="left"/>
      </w:pPr>
      <w:r>
        <w:rPr>
          <w:rFonts w:ascii="Arial" w:hAnsi="Arial" w:eastAsia="Arial" w:cs="Arial"/>
          <w:color w:val="616161"/>
          <w:sz w:val="18"/>
          <w:szCs w:val="18"/>
        </w:rPr>
        <w:t>References 71 to 74 of 74</w:t>
      </w:r>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71.</w:t>
        <w:tab/>
      </w:r>
      <w:r>
        <w:rPr>
          <w:rFonts w:ascii="Arial" w:hAnsi="Arial" w:eastAsia="Arial" w:cs="Arial"/>
          <w:color w:val="242424"/>
          <w:sz w:val="21"/>
          <w:szCs w:val="21"/>
        </w:rPr>
        <w:t xml:space="preserve">Oxford University Clinical Research Unit. “OUCRU Joins International Collaboration to Improve Clinical Research in Low Resource Settings.” Oxford University Clinical Research Unit, 2023-08-11. </w:t>
      </w:r>
      <w:hyperlink r:id="rId85">
        <w:r>
          <w:rPr>
            <w:rFonts w:ascii="Arial" w:hAnsi="Arial" w:eastAsia="Arial" w:cs="Arial"/>
            <w:color w:val="242424"/>
            <w:sz w:val="21"/>
            <w:szCs w:val="21"/>
          </w:rPr>
          <w:t xml:space="preserve">https://www.oucru.org/good-trials-prism/</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72.</w:t>
        <w:tab/>
      </w:r>
      <w:r>
        <w:rPr>
          <w:rFonts w:ascii="Arial" w:hAnsi="Arial" w:eastAsia="Arial" w:cs="Arial"/>
          <w:color w:val="242424"/>
          <w:sz w:val="21"/>
          <w:szCs w:val="21"/>
        </w:rPr>
        <w:t xml:space="preserve">Ministry of Health, Singapore. “Health Sciences Authority (Amendment) and Other Matters Bill to Consolidate Health Regulatory Functions.” Ministry of Health, Singapore, 2026-09-09. </w:t>
      </w:r>
      <w:hyperlink r:id="rId86">
        <w:r>
          <w:rPr>
            <w:rFonts w:ascii="Arial" w:hAnsi="Arial" w:eastAsia="Arial" w:cs="Arial"/>
            <w:color w:val="242424"/>
            <w:sz w:val="21"/>
            <w:szCs w:val="21"/>
          </w:rPr>
          <w:t xml:space="preserve">https://www.moh.gov.sg/newsroom/health-sciences-authority--amendment--and-other-matters-bill-to-consolidate-health-regulatory-functions/</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73.</w:t>
        <w:tab/>
      </w:r>
      <w:r>
        <w:rPr>
          <w:rFonts w:ascii="Arial" w:hAnsi="Arial" w:eastAsia="Arial" w:cs="Arial"/>
          <w:color w:val="242424"/>
          <w:sz w:val="21"/>
          <w:szCs w:val="21"/>
        </w:rPr>
        <w:t xml:space="preserve">Ministry of Health, Singapore. “Speech by Mr Tan Kiat How, Senior Minister of State, Ministry of Digital Development and Information &amp; Ministry of Health, at HealthTechX Asia, 6 May 2026.” Ministry of Health, Singapore, 2026-05-06. </w:t>
      </w:r>
      <w:hyperlink r:id="rId87">
        <w:r>
          <w:rPr>
            <w:rFonts w:ascii="Arial" w:hAnsi="Arial" w:eastAsia="Arial" w:cs="Arial"/>
            <w:color w:val="242424"/>
            <w:sz w:val="21"/>
            <w:szCs w:val="21"/>
          </w:rPr>
          <w:t xml:space="preserve">https://www.moh.gov.sg/newsroom/speech-by-mr-tan-kiat-how--senior-minister-of-state--ministry-of-digital-development-and-information---ministry-of-health--at-healthtechx-asia--6-may-2026/</w:t>
        </w:r>
      </w:hyperlink>
    </w:p>
    <w:p>
      <w:pPr>
        <w:keepLines/>
        <w:widowControl/>
        <w:tabs>
          <w:tab w:pos="432" w:val="left"/>
        </w:tabs>
        <w:spacing w:before="0" w:after="160" w:line="260" w:lineRule="exact"/>
        <w:ind w:left="432" w:right="0" w:hanging="432"/>
        <w:jc w:val="left"/>
      </w:pPr>
      <w:r>
        <w:rPr>
          <w:rFonts w:ascii="Arial" w:hAnsi="Arial" w:eastAsia="Arial" w:cs="Arial"/>
          <w:b/>
          <w:color w:val="242424"/>
          <w:sz w:val="21"/>
          <w:szCs w:val="21"/>
        </w:rPr>
        <w:t>74.</w:t>
        <w:tab/>
      </w:r>
      <w:r>
        <w:rPr>
          <w:rFonts w:ascii="Arial" w:hAnsi="Arial" w:eastAsia="Arial" w:cs="Arial"/>
          <w:color w:val="242424"/>
          <w:sz w:val="21"/>
          <w:szCs w:val="21"/>
        </w:rPr>
        <w:t xml:space="preserve">Singapore Department of Statistics. “Health Personnel (Per 10,000 Total Population), Annual.” data.gov.sg; source: Ministry of Health, 2025-09-15. </w:t>
      </w:r>
      <w:hyperlink r:id="rId88">
        <w:r>
          <w:rPr>
            <w:rFonts w:ascii="Arial" w:hAnsi="Arial" w:eastAsia="Arial" w:cs="Arial"/>
            <w:color w:val="242424"/>
            <w:sz w:val="21"/>
            <w:szCs w:val="21"/>
          </w:rPr>
          <w:t xml:space="preserve">https://data.gov.sg/datasets/d_5257cff1ee5e6a16db6a9606a983efa4/view</w:t>
        </w:r>
      </w:hyperlink>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79" w:right="1080" w:bottom="979" w:left="1080" w:header="10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tabs>
        <w:tab w:pos="10080" w:val="right"/>
      </w:tabs>
      <w:spacing w:before="0" w:after="0" w:line="200" w:lineRule="exact"/>
      <w:ind w:left="0" w:firstLine="0" w:right="0"/>
      <w:jc w:val="left"/>
    </w:pPr>
    <w:r>
      <w:rPr>
        <w:rFonts w:ascii="Arial" w:hAnsi="Arial" w:eastAsia="Arial" w:cs="Arial"/>
        <w:color w:val="76777A"/>
        <w:sz w:val="15"/>
        <w:szCs w:val="16"/>
      </w:rPr>
      <w:t>Sources  |  Analyst review draft  |  7 October 2026</w:t>
      <w:tab/>
    </w:r>
    <w:r>
      <w:rPr>
        <w:rFonts w:ascii="Arial" w:hAnsi="Arial" w:eastAsia="Arial" w:cs="Arial"/>
        <w:color w:val="76777A"/>
        <w:sz w:val="15"/>
        <w:szCs w:val="16"/>
      </w:rPr>
      <w:fldChar w:fldCharType="begin"/>
    </w:r>
    <w:r>
      <w:rPr>
        <w:rFonts w:ascii="Arial" w:hAnsi="Arial" w:eastAsia="Arial" w:cs="Arial"/>
        <w:color w:val="76777A"/>
        <w:sz w:val="15"/>
        <w:szCs w:val="16"/>
      </w:rPr>
      <w:instrText xml:space="preserve"> PAGE </w:instrText>
    </w:r>
    <w:r>
      <w:rPr>
        <w:rFonts w:ascii="Arial" w:hAnsi="Arial" w:eastAsia="Arial" w:cs="Arial"/>
        <w:color w:val="76777A"/>
        <w:sz w:val="15"/>
        <w:szCs w:val="16"/>
      </w:rPr>
      <w:fldChar w:fldCharType="separate"/>
    </w:r>
    <w:r>
      <w:rPr>
        <w:rFonts w:ascii="Arial" w:hAnsi="Arial" w:eastAsia="Arial" w:cs="Arial"/>
        <w:color w:val="76777A"/>
        <w:sz w:val="15"/>
        <w:szCs w:val="16"/>
      </w:rPr>
      <w:t>1</w:t>
    </w:r>
    <w:r>
      <w:rPr>
        <w:rFonts w:ascii="Arial" w:hAnsi="Arial" w:eastAsia="Arial" w:cs="Arial"/>
        <w:color w:val="76777A"/>
        <w:sz w:val="15"/>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color w:val="76777A"/>
        <w:sz w:val="15"/>
      </w:rPr>
      <w:t>Cedars-Sinai International | Singapore</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color w:val="76777A"/>
        <w:sz w:val="15"/>
      </w:rPr>
      <w:t>Cedars-Sinai International | Singapore</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SINGAPORE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SINGAPORE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SINGAPORE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updateFields w:val="false"/>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ind w:left="0" w:right="0" w:firstLine="0"/>
    </w:pPr>
    <w:rPr>
      <w:rFonts w:ascii="Arial" w:hAnsi="Arial"/>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0" w:after="140" w:line="276" w:lineRule="auto"/>
      <w:ind w:left="0" w:right="0" w:firstLine="0"/>
      <w:outlineLvl w:val="0"/>
    </w:pPr>
    <w:rPr>
      <w:rFonts w:ascii="Arial" w:hAnsi="Arial" w:eastAsia="Arial" w:cs="Arial"/>
      <w:b/>
      <w:bCs/>
      <w:color w:val="DC1E34"/>
      <w:sz w:val="42"/>
      <w:szCs w:val="28"/>
    </w:rPr>
  </w:style>
  <w:style w:type="paragraph" w:styleId="Heading2">
    <w:name w:val="heading 2"/>
    <w:basedOn w:val="Normal"/>
    <w:next w:val="Normal"/>
    <w:link w:val="Heading2Char"/>
    <w:uiPriority w:val="9"/>
    <w:unhideWhenUsed/>
    <w:qFormat/>
    <w:rsid w:val="00FC693F"/>
    <w:pPr>
      <w:keepNext/>
      <w:keepLines/>
      <w:spacing w:before="0" w:after="140" w:line="276" w:lineRule="auto"/>
      <w:ind w:left="0" w:right="0" w:firstLine="0"/>
      <w:outlineLvl w:val="1"/>
    </w:pPr>
    <w:rPr>
      <w:rFonts w:ascii="Arial" w:hAnsi="Arial" w:eastAsia="Arial" w:cs="Arial"/>
      <w:b/>
      <w:bCs/>
      <w:color w:val="DC1E34"/>
      <w:sz w:val="25"/>
      <w:szCs w:val="26"/>
    </w:rPr>
  </w:style>
  <w:style w:type="paragraph" w:styleId="Heading3">
    <w:name w:val="heading 3"/>
    <w:basedOn w:val="Normal"/>
    <w:next w:val="Normal"/>
    <w:link w:val="Heading3Char"/>
    <w:uiPriority w:val="9"/>
    <w:unhideWhenUsed/>
    <w:qFormat/>
    <w:rsid w:val="00FC693F"/>
    <w:pPr>
      <w:keepNext/>
      <w:keepLines/>
      <w:spacing w:before="0" w:after="140" w:line="276" w:lineRule="auto"/>
      <w:ind w:left="0" w:right="0" w:firstLine="0"/>
      <w:outlineLvl w:val="2"/>
    </w:pPr>
    <w:rPr>
      <w:rFonts w:ascii="Arial" w:hAnsi="Arial" w:eastAsia="Arial" w:cs="Arial"/>
      <w:b/>
      <w:bCs/>
      <w:color w:val="DC1E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2424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24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24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2424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24242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242424"/>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Arial" w:hAnsi="Arial" w:eastAsia="Arial" w:cs="Arial"/>
      <w:b/>
      <w:bCs/>
      <w:color w:val="242424"/>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242424"/>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242424"/>
    </w:rPr>
  </w:style>
  <w:style w:type="paragraph" w:styleId="Title">
    <w:name w:val="Title"/>
    <w:basedOn w:val="Normal"/>
    <w:next w:val="Normal"/>
    <w:link w:val="TitleChar"/>
    <w:uiPriority w:val="10"/>
    <w:qFormat/>
    <w:rsid w:val="00FC693F"/>
    <w:pPr>
      <w:spacing w:after="140" w:line="276" w:lineRule="auto" w:before="0"/>
      <w:ind w:left="0" w:right="0" w:firstLine="0"/>
      <w:contextualSpacing/>
    </w:pPr>
    <w:rPr>
      <w:rFonts w:ascii="Arial" w:hAnsi="Arial" w:eastAsia="Arial" w:cs="Arial"/>
      <w:color w:val="DC1E34"/>
      <w:spacing w:val="5"/>
      <w:kern w:val="28"/>
      <w:sz w:val="60"/>
      <w:szCs w:val="52"/>
    </w:rPr>
  </w:style>
  <w:style w:type="character" w:customStyle="1" w:styleId="TitleChar">
    <w:name w:val="Title Char"/>
    <w:basedOn w:val="DefaultParagraphFont"/>
    <w:link w:val="Title"/>
    <w:uiPriority w:val="10"/>
    <w:rsid w:val="00FC693F"/>
    <w:rPr>
      <w:rFonts w:ascii="Arial" w:hAnsi="Arial" w:eastAsia="Arial" w:cs="Arial"/>
      <w:color w:val="242424"/>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0" w:line="276" w:lineRule="auto"/>
      <w:ind w:left="0" w:right="0" w:firstLine="0"/>
    </w:pPr>
    <w:rPr>
      <w:rFonts w:ascii="Arial" w:hAnsi="Arial" w:eastAsia="Arial" w:cs="Arial"/>
      <w:i/>
      <w:iCs/>
      <w:color w:val="61616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242424"/>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i/>
      <w:iCs/>
      <w:color w:val="242424"/>
    </w:rPr>
  </w:style>
  <w:style w:type="character" w:customStyle="1" w:styleId="QuoteChar">
    <w:name w:val="Quote Char"/>
    <w:basedOn w:val="DefaultParagraphFont"/>
    <w:link w:val="Quote"/>
    <w:uiPriority w:val="29"/>
    <w:rsid w:val="00FC693F"/>
    <w:rPr>
      <w:rFonts w:ascii="Arial" w:hAnsi="Arial"/>
      <w:i/>
      <w:iCs/>
      <w:color w:val="242424"/>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242424"/>
    </w:rPr>
  </w:style>
  <w:style w:type="character" w:customStyle="1" w:styleId="Heading5Char">
    <w:name w:val="Heading 5 Char"/>
    <w:basedOn w:val="DefaultParagraphFont"/>
    <w:link w:val="Heading5"/>
    <w:uiPriority w:val="9"/>
    <w:semiHidden/>
    <w:rsid w:val="00FC693F"/>
    <w:rPr>
      <w:rFonts w:ascii="Arial" w:hAnsi="Arial" w:eastAsia="Arial" w:cs="Arial"/>
      <w:color w:val="242424"/>
    </w:rPr>
  </w:style>
  <w:style w:type="character" w:customStyle="1" w:styleId="Heading6Char">
    <w:name w:val="Heading 6 Char"/>
    <w:basedOn w:val="DefaultParagraphFont"/>
    <w:link w:val="Heading6"/>
    <w:uiPriority w:val="9"/>
    <w:semiHidden/>
    <w:rsid w:val="00FC693F"/>
    <w:rPr>
      <w:rFonts w:ascii="Arial" w:hAnsi="Arial" w:eastAsia="Arial" w:cs="Arial"/>
      <w:i/>
      <w:iCs/>
      <w:color w:val="242424"/>
    </w:rPr>
  </w:style>
  <w:style w:type="character" w:customStyle="1" w:styleId="Heading7Char">
    <w:name w:val="Heading 7 Char"/>
    <w:basedOn w:val="DefaultParagraphFont"/>
    <w:link w:val="Heading7"/>
    <w:uiPriority w:val="9"/>
    <w:semiHidden/>
    <w:rsid w:val="00FC693F"/>
    <w:rPr>
      <w:rFonts w:ascii="Arial" w:hAnsi="Arial" w:eastAsia="Arial" w:cs="Arial"/>
      <w:i/>
      <w:iCs/>
      <w:color w:val="242424"/>
    </w:rPr>
  </w:style>
  <w:style w:type="character" w:customStyle="1" w:styleId="Heading8Char">
    <w:name w:val="Heading 8 Char"/>
    <w:basedOn w:val="DefaultParagraphFont"/>
    <w:link w:val="Heading8"/>
    <w:uiPriority w:val="9"/>
    <w:semiHidden/>
    <w:rsid w:val="00FC693F"/>
    <w:rPr>
      <w:rFonts w:ascii="Arial" w:hAnsi="Arial" w:eastAsia="Arial" w:cs="Arial"/>
      <w:color w:val="242424"/>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24242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242424"/>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242424"/>
    </w:rPr>
  </w:style>
  <w:style w:type="character" w:customStyle="1" w:styleId="IntenseQuoteChar">
    <w:name w:val="Intense Quote Char"/>
    <w:basedOn w:val="DefaultParagraphFont"/>
    <w:link w:val="IntenseQuote"/>
    <w:uiPriority w:val="30"/>
    <w:rsid w:val="00FC693F"/>
    <w:rPr>
      <w:rFonts w:ascii="Arial" w:hAnsi="Arial"/>
      <w:b/>
      <w:bCs/>
      <w:i/>
      <w:iCs/>
      <w:color w:val="242424"/>
    </w:rPr>
  </w:style>
  <w:style w:type="character" w:styleId="SubtleEmphasis">
    <w:name w:val="Subtle Emphasis"/>
    <w:basedOn w:val="DefaultParagraphFont"/>
    <w:uiPriority w:val="19"/>
    <w:qFormat/>
    <w:rsid w:val="00FC693F"/>
    <w:rPr>
      <w:rFonts w:ascii="Arial" w:hAnsi="Arial"/>
      <w:i/>
      <w:iCs/>
      <w:color w:val="242424"/>
    </w:rPr>
  </w:style>
  <w:style w:type="character" w:styleId="IntenseEmphasis">
    <w:name w:val="Intense Emphasis"/>
    <w:basedOn w:val="DefaultParagraphFont"/>
    <w:uiPriority w:val="21"/>
    <w:qFormat/>
    <w:rsid w:val="00FC693F"/>
    <w:rPr>
      <w:rFonts w:ascii="Arial" w:hAnsi="Arial"/>
      <w:b/>
      <w:bCs/>
      <w:i/>
      <w:iCs/>
      <w:color w:val="242424"/>
    </w:rPr>
  </w:style>
  <w:style w:type="character" w:styleId="SubtleReference">
    <w:name w:val="Subtle Reference"/>
    <w:basedOn w:val="DefaultParagraphFont"/>
    <w:uiPriority w:val="31"/>
    <w:qFormat/>
    <w:rsid w:val="00FC693F"/>
    <w:rPr>
      <w:rFonts w:ascii="Arial" w:hAnsi="Arial"/>
      <w:smallCaps/>
      <w:color w:val="242424"/>
      <w:u w:val="single"/>
    </w:rPr>
  </w:style>
  <w:style w:type="character" w:styleId="IntenseReference">
    <w:name w:val="Intense Reference"/>
    <w:basedOn w:val="DefaultParagraphFont"/>
    <w:uiPriority w:val="32"/>
    <w:qFormat/>
    <w:rsid w:val="00FC693F"/>
    <w:rPr>
      <w:rFonts w:ascii="Arial" w:hAnsi="Arial"/>
      <w:b/>
      <w:bCs/>
      <w:smallCaps/>
      <w:color w:val="242424"/>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2424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242424"/>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2424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2424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2424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2424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2424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2424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424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2424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42424"/>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2424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424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24242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24242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24242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24242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24242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24242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2424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24242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242424"/>
      </w:rPr>
      <w:tblPr/>
      <w:tcPr>
        <w:shd w:val="clear" w:color="auto" w:fill="E6E6E6" w:themeFill="text1"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242424"/>
      </w:rPr>
      <w:tblPr/>
      <w:tcPr>
        <w:shd w:val="clear" w:color="auto" w:fill="EDF2F8" w:themeFill="accent1"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242424"/>
      </w:rPr>
      <w:tblPr/>
      <w:tcPr>
        <w:shd w:val="clear" w:color="auto" w:fill="F8EDED" w:themeFill="accent2"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242424"/>
      </w:rPr>
      <w:tblPr/>
      <w:tcPr>
        <w:shd w:val="clear" w:color="auto" w:fill="F5F8EE" w:themeFill="accent3"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242424"/>
      </w:rPr>
      <w:tblPr/>
      <w:tcPr>
        <w:shd w:val="clear" w:color="auto" w:fill="F2EFF6" w:themeFill="accent4"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242424"/>
      </w:rPr>
      <w:tblPr/>
      <w:tcPr>
        <w:shd w:val="clear" w:color="auto" w:fill="EDF6F9" w:themeFill="accent5"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2424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242424"/>
      </w:rPr>
      <w:tblPr/>
      <w:tcPr>
        <w:shd w:val="clear" w:color="auto" w:fill="FEF4EC" w:themeFill="accent6" w:themeFillTint="19"/>
      </w:tcPr>
    </w:tblStylePr>
    <w:tblStylePr w:type="lastRow">
      <w:rPr>
        <w:b/>
        <w:bCs/>
        <w:color w:val="2424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42424"/>
      </w:rPr>
      <w:tblPr/>
      <w:tcPr>
        <w:tcBorders>
          <w:top w:val="nil"/>
          <w:left w:val="nil"/>
          <w:bottom w:val="nil"/>
          <w:right w:val="nil"/>
          <w:insideH w:val="nil"/>
          <w:insideV w:val="nil"/>
        </w:tcBorders>
        <w:shd w:val="clear" w:color="auto" w:fill="FFFFFF" w:themeFill="background1"/>
      </w:tcPr>
    </w:tblStylePr>
    <w:tblStylePr w:type="lastCol">
      <w:rPr>
        <w:b w:val="0"/>
        <w:bCs w:val="0"/>
        <w:color w:val="2424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2424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2424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2424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2424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000000" w:themeFill="text1" w:themeFillShade="99"/>
      </w:tcPr>
    </w:tblStylePr>
    <w:tblStylePr w:type="firstCol">
      <w:rPr>
        <w:color w:val="2424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2424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242424"/>
      </w:rPr>
    </w:tblStylePr>
    <w:tblStylePr w:type="nwCell">
      <w:rPr>
        <w:color w:val="242424"/>
      </w:rPr>
    </w:tblStylePr>
  </w:style>
  <w:style w:type="table" w:styleId="ColorfulShading-Accent1">
    <w:name w:val="Colorful Shading Accent 1"/>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2C4C74" w:themeFill="accent1" w:themeFillShade="99"/>
      </w:tcPr>
    </w:tblStylePr>
    <w:tblStylePr w:type="firstCol">
      <w:rPr>
        <w:color w:val="2424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2424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242424"/>
      </w:rPr>
    </w:tblStylePr>
    <w:tblStylePr w:type="nwCell">
      <w:rPr>
        <w:color w:val="242424"/>
      </w:rPr>
    </w:tblStylePr>
  </w:style>
  <w:style w:type="table" w:styleId="ColorfulShading-Accent2">
    <w:name w:val="Colorful Shading Accent 2"/>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772C2A" w:themeFill="accent2" w:themeFillShade="99"/>
      </w:tcPr>
    </w:tblStylePr>
    <w:tblStylePr w:type="firstCol">
      <w:rPr>
        <w:color w:val="2424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2424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242424"/>
      </w:rPr>
    </w:tblStylePr>
    <w:tblStylePr w:type="nwCell">
      <w:rPr>
        <w:color w:val="242424"/>
      </w:rPr>
    </w:tblStylePr>
  </w:style>
  <w:style w:type="table" w:styleId="ColorfulShading-Accent3">
    <w:name w:val="Colorful Shading Accent 3"/>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5E7530" w:themeFill="accent3" w:themeFillShade="99"/>
      </w:tcPr>
    </w:tblStylePr>
    <w:tblStylePr w:type="firstCol">
      <w:rPr>
        <w:color w:val="2424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2424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4C3B62" w:themeFill="accent4" w:themeFillShade="99"/>
      </w:tcPr>
    </w:tblStylePr>
    <w:tblStylePr w:type="firstCol">
      <w:rPr>
        <w:color w:val="2424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2424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242424"/>
      </w:rPr>
    </w:tblStylePr>
    <w:tblStylePr w:type="nwCell">
      <w:rPr>
        <w:color w:val="242424"/>
      </w:rPr>
    </w:tblStylePr>
  </w:style>
  <w:style w:type="table" w:styleId="ColorfulShading-Accent5">
    <w:name w:val="Colorful Shading Accent 5"/>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276A7C" w:themeFill="accent5" w:themeFillShade="99"/>
      </w:tcPr>
    </w:tblStylePr>
    <w:tblStylePr w:type="firstCol">
      <w:rPr>
        <w:color w:val="2424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2424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242424"/>
      </w:rPr>
    </w:tblStylePr>
    <w:tblStylePr w:type="nwCell">
      <w:rPr>
        <w:color w:val="242424"/>
      </w:rPr>
    </w:tblStylePr>
  </w:style>
  <w:style w:type="table" w:styleId="ColorfulShading-Accent6">
    <w:name w:val="Colorful Shading Accent 6"/>
    <w:basedOn w:val="TableNormal"/>
    <w:uiPriority w:val="71"/>
    <w:rsid w:val="00CB0664"/>
    <w:pPr>
      <w:spacing w:after="0" w:line="240" w:lineRule="auto"/>
    </w:pPr>
    <w:rPr>
      <w:rFonts w:ascii="Arial" w:hAnsi="Arial"/>
      <w:color w:val="2424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242424"/>
      </w:rPr>
      <w:tblPr/>
      <w:tcPr>
        <w:tcBorders>
          <w:top w:val="single" w:sz="6" w:space="0" w:color="FFFFFF" w:themeColor="background1"/>
        </w:tcBorders>
        <w:shd w:val="clear" w:color="auto" w:fill="B65608" w:themeFill="accent6" w:themeFillShade="99"/>
      </w:tcPr>
    </w:tblStylePr>
    <w:tblStylePr w:type="firstCol">
      <w:rPr>
        <w:color w:val="2424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2424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242424"/>
      </w:rPr>
    </w:tblStylePr>
    <w:tblStylePr w:type="nwCell">
      <w:rPr>
        <w:color w:val="242424"/>
      </w:rPr>
    </w:tblStylePr>
  </w:style>
  <w:style w:type="table" w:styleId="ColorfulList">
    <w:name w:val="Colorful List"/>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242424"/>
      </w:rPr>
      <w:tblPr/>
      <w:tcPr>
        <w:tcBorders>
          <w:bottom w:val="single" w:sz="12" w:space="0" w:color="FFFFFF" w:themeColor="background1"/>
        </w:tcBorders>
        <w:shd w:val="clear" w:color="auto" w:fill="9E3A38" w:themeFill="accent2"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242424"/>
      </w:rPr>
      <w:tblPr/>
      <w:tcPr>
        <w:tcBorders>
          <w:bottom w:val="single" w:sz="12" w:space="0" w:color="FFFFFF" w:themeColor="background1"/>
        </w:tcBorders>
        <w:shd w:val="clear" w:color="auto" w:fill="9E3A38" w:themeFill="accent2"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242424"/>
      </w:rPr>
      <w:tblPr/>
      <w:tcPr>
        <w:tcBorders>
          <w:bottom w:val="single" w:sz="12" w:space="0" w:color="FFFFFF" w:themeColor="background1"/>
        </w:tcBorders>
        <w:shd w:val="clear" w:color="auto" w:fill="9E3A38" w:themeFill="accent2"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242424"/>
      </w:rPr>
      <w:tblPr/>
      <w:tcPr>
        <w:tcBorders>
          <w:bottom w:val="single" w:sz="12" w:space="0" w:color="FFFFFF" w:themeColor="background1"/>
        </w:tcBorders>
        <w:shd w:val="clear" w:color="auto" w:fill="664E82" w:themeFill="accent4"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242424"/>
      </w:rPr>
      <w:tblPr/>
      <w:tcPr>
        <w:tcBorders>
          <w:bottom w:val="single" w:sz="12" w:space="0" w:color="FFFFFF" w:themeColor="background1"/>
        </w:tcBorders>
        <w:shd w:val="clear" w:color="auto" w:fill="7E9C40" w:themeFill="accent3"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242424"/>
      </w:rPr>
      <w:tblPr/>
      <w:tcPr>
        <w:tcBorders>
          <w:bottom w:val="single" w:sz="12" w:space="0" w:color="FFFFFF" w:themeColor="background1"/>
        </w:tcBorders>
        <w:shd w:val="clear" w:color="auto" w:fill="F2730A" w:themeFill="accent6"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2424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242424"/>
      </w:rPr>
      <w:tblPr/>
      <w:tcPr>
        <w:tcBorders>
          <w:bottom w:val="single" w:sz="12" w:space="0" w:color="FFFFFF" w:themeColor="background1"/>
        </w:tcBorders>
        <w:shd w:val="clear" w:color="auto" w:fill="348DA5" w:themeFill="accent5"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242424"/>
      </w:rPr>
      <w:tblPr/>
      <w:tcPr>
        <w:shd w:val="clear" w:color="auto" w:fill="999999" w:themeFill="text1" w:themeFillTint="66"/>
      </w:tcPr>
    </w:tblStylePr>
    <w:tblStylePr w:type="firstCol">
      <w:rPr>
        <w:color w:val="242424"/>
      </w:rPr>
      <w:tblPr/>
      <w:tcPr>
        <w:shd w:val="clear" w:color="auto" w:fill="000000" w:themeFill="text1" w:themeFillShade="BF"/>
      </w:tcPr>
    </w:tblStylePr>
    <w:tblStylePr w:type="lastCol">
      <w:rPr>
        <w:color w:val="2424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242424"/>
      </w:rPr>
      <w:tblPr/>
      <w:tcPr>
        <w:shd w:val="clear" w:color="auto" w:fill="B8CCE4" w:themeFill="accent1" w:themeFillTint="66"/>
      </w:tcPr>
    </w:tblStylePr>
    <w:tblStylePr w:type="firstCol">
      <w:rPr>
        <w:color w:val="242424"/>
      </w:rPr>
      <w:tblPr/>
      <w:tcPr>
        <w:shd w:val="clear" w:color="auto" w:fill="365F91" w:themeFill="accent1" w:themeFillShade="BF"/>
      </w:tcPr>
    </w:tblStylePr>
    <w:tblStylePr w:type="lastCol">
      <w:rPr>
        <w:color w:val="2424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242424"/>
      </w:rPr>
      <w:tblPr/>
      <w:tcPr>
        <w:shd w:val="clear" w:color="auto" w:fill="E5B8B7" w:themeFill="accent2" w:themeFillTint="66"/>
      </w:tcPr>
    </w:tblStylePr>
    <w:tblStylePr w:type="firstCol">
      <w:rPr>
        <w:color w:val="242424"/>
      </w:rPr>
      <w:tblPr/>
      <w:tcPr>
        <w:shd w:val="clear" w:color="auto" w:fill="943634" w:themeFill="accent2" w:themeFillShade="BF"/>
      </w:tcPr>
    </w:tblStylePr>
    <w:tblStylePr w:type="lastCol">
      <w:rPr>
        <w:color w:val="2424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242424"/>
      </w:rPr>
      <w:tblPr/>
      <w:tcPr>
        <w:shd w:val="clear" w:color="auto" w:fill="D6E3BC" w:themeFill="accent3" w:themeFillTint="66"/>
      </w:tcPr>
    </w:tblStylePr>
    <w:tblStylePr w:type="firstCol">
      <w:rPr>
        <w:color w:val="242424"/>
      </w:rPr>
      <w:tblPr/>
      <w:tcPr>
        <w:shd w:val="clear" w:color="auto" w:fill="76923C" w:themeFill="accent3" w:themeFillShade="BF"/>
      </w:tcPr>
    </w:tblStylePr>
    <w:tblStylePr w:type="lastCol">
      <w:rPr>
        <w:color w:val="2424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242424"/>
      </w:rPr>
      <w:tblPr/>
      <w:tcPr>
        <w:shd w:val="clear" w:color="auto" w:fill="CCC0D9" w:themeFill="accent4" w:themeFillTint="66"/>
      </w:tcPr>
    </w:tblStylePr>
    <w:tblStylePr w:type="firstCol">
      <w:rPr>
        <w:color w:val="242424"/>
      </w:rPr>
      <w:tblPr/>
      <w:tcPr>
        <w:shd w:val="clear" w:color="auto" w:fill="5F497A" w:themeFill="accent4" w:themeFillShade="BF"/>
      </w:tcPr>
    </w:tblStylePr>
    <w:tblStylePr w:type="lastCol">
      <w:rPr>
        <w:color w:val="2424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242424"/>
      </w:rPr>
      <w:tblPr/>
      <w:tcPr>
        <w:shd w:val="clear" w:color="auto" w:fill="B6DDE8" w:themeFill="accent5" w:themeFillTint="66"/>
      </w:tcPr>
    </w:tblStylePr>
    <w:tblStylePr w:type="firstCol">
      <w:rPr>
        <w:color w:val="242424"/>
      </w:rPr>
      <w:tblPr/>
      <w:tcPr>
        <w:shd w:val="clear" w:color="auto" w:fill="31849B" w:themeFill="accent5" w:themeFillShade="BF"/>
      </w:tcPr>
    </w:tblStylePr>
    <w:tblStylePr w:type="lastCol">
      <w:rPr>
        <w:color w:val="2424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2424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242424"/>
      </w:rPr>
      <w:tblPr/>
      <w:tcPr>
        <w:shd w:val="clear" w:color="auto" w:fill="FBD4B4" w:themeFill="accent6" w:themeFillTint="66"/>
      </w:tcPr>
    </w:tblStylePr>
    <w:tblStylePr w:type="firstCol">
      <w:rPr>
        <w:color w:val="242424"/>
      </w:rPr>
      <w:tblPr/>
      <w:tcPr>
        <w:shd w:val="clear" w:color="auto" w:fill="E36C0A" w:themeFill="accent6" w:themeFillShade="BF"/>
      </w:tcPr>
    </w:tblStylePr>
    <w:tblStylePr w:type="lastCol">
      <w:rPr>
        <w:color w:val="2424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www.mfa.gov.sg/about-singapore/" TargetMode="External"/><Relationship Id="rId16" Type="http://schemas.openxmlformats.org/officeDocument/2006/relationships/hyperlink" Target="https://sso.agc.gov.sg/Act/CONS1963?ProvIds=pr153A-" TargetMode="External"/><Relationship Id="rId17" Type="http://schemas.openxmlformats.org/officeDocument/2006/relationships/hyperlink" Target="https://www.singstat.gov.sg/find-data/explore-data-themes/population/population-and-population-structure/latest-news-data" TargetMode="External"/><Relationship Id="rId18" Type="http://schemas.openxmlformats.org/officeDocument/2006/relationships/hyperlink" Target="https://www.singstat.gov.sg/find-data/explore-data-themes/society/environment/latest-news-data" TargetMode="External"/><Relationship Id="rId19" Type="http://schemas.openxmlformats.org/officeDocument/2006/relationships/hyperlink" Target="https://databank.worldbank.org/reports.aspx?country=SGP&amp;series=NY.GDP.PCAP.PP.CD&amp;source=2" TargetMode="External"/><Relationship Id="rId20" Type="http://schemas.openxmlformats.org/officeDocument/2006/relationships/hyperlink" Target="https://www.mas.gov.sg/currency" TargetMode="External"/><Relationship Id="rId21" Type="http://schemas.openxmlformats.org/officeDocument/2006/relationships/hyperlink" Target="https://www.singstat.gov.sg/publication-resources/population-trends-2026" TargetMode="External"/><Relationship Id="rId22" Type="http://schemas.openxmlformats.org/officeDocument/2006/relationships/hyperlink" Target="https://www.pmo.gov.sg/about-us/the-cabinet/mr-lawrence-wong/" TargetMode="External"/><Relationship Id="rId23" Type="http://schemas.openxmlformats.org/officeDocument/2006/relationships/hyperlink" Target="https://www.istana.gov.sg/the-president/president-tharman-shanmugaratnam/" TargetMode="External"/><Relationship Id="rId24" Type="http://schemas.openxmlformats.org/officeDocument/2006/relationships/hyperlink" Target="https://www.istana.gov.sg/the-president/presidents-duties/the-presidency/" TargetMode="External"/><Relationship Id="rId25" Type="http://schemas.openxmlformats.org/officeDocument/2006/relationships/hyperlink" Target="https://www.moh.gov.sg/about-us/our-partners/" TargetMode="External"/><Relationship Id="rId26" Type="http://schemas.openxmlformats.org/officeDocument/2006/relationships/hyperlink" Target="https://www.singstat.gov.sg/find-data/explore-data-themes/economy-prices/national-accounts/latest-news-data" TargetMode="External"/><Relationship Id="rId27" Type="http://schemas.openxmlformats.org/officeDocument/2006/relationships/hyperlink" Target="https://www.meti.gov.sg/newsroom/mti-upgrades-2026-gdp-growth-forecast-to--4-5-to-5-5-per-cent-/" TargetMode="External"/><Relationship Id="rId28" Type="http://schemas.openxmlformats.org/officeDocument/2006/relationships/hyperlink" Target="https://www.mti.gov.sg/newsroom/speech-by-minister-of-state-for-trade-and-industry-alvin-tan-at-ministry-of-trade-and-industry--mti--s-committee-of-supply-debate-2023/" TargetMode="External"/><Relationship Id="rId29" Type="http://schemas.openxmlformats.org/officeDocument/2006/relationships/hyperlink" Target="https://www.moh.gov.sg/others/resources-and-statistics/principal-causes-of-death/" TargetMode="External"/><Relationship Id="rId30" Type="http://schemas.openxmlformats.org/officeDocument/2006/relationships/hyperlink" Target="https://isomer-user-content.by.gov.sg/3/4cad4e62-8093-48de-b0d1-af8e012d4d95/NPHS%202024%20Survey%20Report_Final.pdf" TargetMode="External"/><Relationship Id="rId31" Type="http://schemas.openxmlformats.org/officeDocument/2006/relationships/hyperlink" Target="https://isomer-user-content.by.gov.sg/3/6d240639-e156-403e-bb26-1bdddfe0af6f/NPHS%202025%20Survey%20Report_Final.pdf" TargetMode="External"/><Relationship Id="rId32" Type="http://schemas.openxmlformats.org/officeDocument/2006/relationships/hyperlink" Target="https://www.moh.gov.sg/others/resources-and-statistics/health-facilities/" TargetMode="External"/><Relationship Id="rId33" Type="http://schemas.openxmlformats.org/officeDocument/2006/relationships/hyperlink" Target="https://www.moh.gov.sg/others/resources-and-statistics/beds-in-inpatient-facilities-and-places-in-non-residential-long-term-care-facilities/" TargetMode="External"/><Relationship Id="rId34" Type="http://schemas.openxmlformats.org/officeDocument/2006/relationships/hyperlink" Target="https://www.moh.gov.sg/newsroom/enhancing-quality-and-coordination-of-care/" TargetMode="External"/><Relationship Id="rId35" Type="http://schemas.openxmlformats.org/officeDocument/2006/relationships/hyperlink" Target="https://www.moh.gov.sg/staying-healthy/healthy-living/" TargetMode="External"/><Relationship Id="rId36" Type="http://schemas.openxmlformats.org/officeDocument/2006/relationships/hyperlink" Target="https://www.moh.gov.sg/managing-expenses/keeping-healthcare-affordable/managing-medical-bills/" TargetMode="External"/><Relationship Id="rId37" Type="http://schemas.openxmlformats.org/officeDocument/2006/relationships/hyperlink" Target="https://www.moh.gov.sg/managing-expenses/bills-and-fee-benchmarks/hospital-bills-and-fee-benchmarks/" TargetMode="External"/><Relationship Id="rId38" Type="http://schemas.openxmlformats.org/officeDocument/2006/relationships/hyperlink" Target="https://www.rafflesmedicalgroup.com/services/hospital/international-patients/international-patient-services/" TargetMode="External"/><Relationship Id="rId39" Type="http://schemas.openxmlformats.org/officeDocument/2006/relationships/hyperlink" Target="https://www.moh.gov.sg/others/health-regulation/healthcare-services-regulation-and-licensing/" TargetMode="External"/><Relationship Id="rId40" Type="http://schemas.openxmlformats.org/officeDocument/2006/relationships/hyperlink" Target="https://databank.worldbank.org/reports.aspx?country=SGP&amp;series=SH.XPD.CHEX.PC.CD&amp;source=2" TargetMode="External"/><Relationship Id="rId41" Type="http://schemas.openxmlformats.org/officeDocument/2006/relationships/hyperlink" Target="https://www.moh.gov.sg/others/resources-and-statistics/government-health-expenditure-and-healthcare-financing/" TargetMode="External"/><Relationship Id="rId42" Type="http://schemas.openxmlformats.org/officeDocument/2006/relationships/hyperlink" Target="https://www.oecd.org/en/publications/health-at-a-glance-2025_8f9e3f98-en/full-report/indicator-overview-country-dashboards-and-major-trends_368ac397.html" TargetMode="External"/><Relationship Id="rId43" Type="http://schemas.openxmlformats.org/officeDocument/2006/relationships/hyperlink" Target="https://www.moh.gov.sg/managing-expenses/schemes-and-subsidies/medishield-life/medishield-life-scheme-act/" TargetMode="External"/><Relationship Id="rId44" Type="http://schemas.openxmlformats.org/officeDocument/2006/relationships/hyperlink" Target="https://www.moh.gov.sg/others/resources-and-statistics/health-manpower/" TargetMode="External"/><Relationship Id="rId45" Type="http://schemas.openxmlformats.org/officeDocument/2006/relationships/hyperlink" Target="https://www.moh.gov.sg/newsroom/current-healthcare-workforce-strength-compared-against-projected-service-demand/" TargetMode="External"/><Relationship Id="rId46" Type="http://schemas.openxmlformats.org/officeDocument/2006/relationships/hyperlink" Target="https://medicine.nus.edu.sg/prospective-students/bachelor-of-medicine-and-bachelor-of-surgery-mbbs/" TargetMode="External"/><Relationship Id="rId47" Type="http://schemas.openxmlformats.org/officeDocument/2006/relationships/hyperlink" Target="https://www.ntu.edu.sg/education/undergraduate-programme/bachelor-of-medicine-and-bachelor-of-surgery-(mbbs)" TargetMode="External"/><Relationship Id="rId48" Type="http://schemas.openxmlformats.org/officeDocument/2006/relationships/hyperlink" Target="https://www.duke-nus.edu.sg/education/our-programmes/md-programme" TargetMode="External"/><Relationship Id="rId49" Type="http://schemas.openxmlformats.org/officeDocument/2006/relationships/hyperlink" Target="https://www.smc.gov.sg/for-professionals/apply-for-registration/provisional-registration/" TargetMode="External"/><Relationship Id="rId50" Type="http://schemas.openxmlformats.org/officeDocument/2006/relationships/hyperlink" Target="https://www.moh.gov.sg/ageing-well/ageing-in-the-community/" TargetMode="External"/><Relationship Id="rId51" Type="http://schemas.openxmlformats.org/officeDocument/2006/relationships/hyperlink" Target="https://www.healthinfo.gov.sg/hia/" TargetMode="External"/><Relationship Id="rId52" Type="http://schemas.openxmlformats.org/officeDocument/2006/relationships/hyperlink" Target="https://medschool.duke.edu/education/international-experiences/office-duke-nus-affairs/about-partnership" TargetMode="External"/><Relationship Id="rId53" Type="http://schemas.openxmlformats.org/officeDocument/2006/relationships/hyperlink" Target="https://www.singhealth.com.sg/news/announcements/nhcs-and-mayo-clinic-to-advance-cardiovascular-care-and-research" TargetMode="External"/><Relationship Id="rId54" Type="http://schemas.openxmlformats.org/officeDocument/2006/relationships/hyperlink" Target="https://www.cedars-sinai.org/newsroom/cedars-sinai-guerin-childrens-launches-multinational-genomics-study-for-nicu-babies/" TargetMode="External"/><Relationship Id="rId55" Type="http://schemas.openxmlformats.org/officeDocument/2006/relationships/hyperlink" Target="https://scholars.duke.edu/publication/1667513" TargetMode="External"/><Relationship Id="rId56" Type="http://schemas.openxmlformats.org/officeDocument/2006/relationships/hyperlink" Target="https://news.nus.edu.sg/duke-and-nus-reaffirm-commitment-to-duke-nus-partnership-with-agreement-renewal/" TargetMode="External"/><Relationship Id="rId57" Type="http://schemas.openxmlformats.org/officeDocument/2006/relationships/hyperlink" Target="https://medicine.nus.edu.sg/news/nus-yong-loo-lin-school-of-medicine-and-harvard-t-h-chan-school-of-public-health-launch-womens-health-initiative/" TargetMode="External"/><Relationship Id="rId58" Type="http://schemas.openxmlformats.org/officeDocument/2006/relationships/hyperlink" Target="https://hsph.harvard.edu/nutrition/events/womens-health-conference-2026/" TargetMode="External"/><Relationship Id="rId59" Type="http://schemas.openxmlformats.org/officeDocument/2006/relationships/hyperlink" Target="https://www.prnewswire.com/apac/news-releases/singhealth-launches-global-network-for-world-class-healthcare-administrator-immersion-and-development-302849472.html" TargetMode="External"/><Relationship Id="rId60" Type="http://schemas.openxmlformats.org/officeDocument/2006/relationships/hyperlink" Target="https://www.singhealthacademy.edu.sg/singapore-healthcare-management/shm2026/programme" TargetMode="External"/><Relationship Id="rId61" Type="http://schemas.openxmlformats.org/officeDocument/2006/relationships/hyperlink" Target="https://en.prnasia.com/releases/apac/singhealth-launches-global-network-for-world-class-healthcare-administrator-immersion-and-development-543763.shtml" TargetMode="External"/><Relationship Id="rId62" Type="http://schemas.openxmlformats.org/officeDocument/2006/relationships/hyperlink" Target="https://www.michiganmedicine.org/giving/areas-support/giving-csi-singapore-rogel-cancer-center-partnership" TargetMode="External"/><Relationship Id="rId63" Type="http://schemas.openxmlformats.org/officeDocument/2006/relationships/hyperlink" Target="https://www.michiganmedicine.org/news-release/u-m-partner-singapore-hospital-cancer-center" TargetMode="External"/><Relationship Id="rId64" Type="http://schemas.openxmlformats.org/officeDocument/2006/relationships/hyperlink" Target="https://medschool.umich.edu/medical-school-news/growing-collaborations-partnerships-singapore" TargetMode="External"/><Relationship Id="rId65" Type="http://schemas.openxmlformats.org/officeDocument/2006/relationships/hyperlink" Target="https://www.hematology.org/meetings/annual-meeting?ID=102850" TargetMode="External"/><Relationship Id="rId66" Type="http://schemas.openxmlformats.org/officeDocument/2006/relationships/hyperlink" Target="https://www.cfps.org.sg/assets/Annual-Report/AR-2024-2025/CFPS-AnnReport2025.pdf" TargetMode="External"/><Relationship Id="rId67" Type="http://schemas.openxmlformats.org/officeDocument/2006/relationships/hyperlink" Target="https://www.cfps.org.sg/publications/the-college-mirror/download/124" TargetMode="External"/><Relationship Id="rId68" Type="http://schemas.openxmlformats.org/officeDocument/2006/relationships/hyperlink" Target="https://www.mountsinai.org/about/international/programs" TargetMode="External"/><Relationship Id="rId69" Type="http://schemas.openxmlformats.org/officeDocument/2006/relationships/hyperlink" Target="https://www.snec.com.sg/news/announcements/snec-seri-and-stanford-university-partner-to-boost-ophthalmology-education-clinical-care-and-research" TargetMode="External"/><Relationship Id="rId70" Type="http://schemas.openxmlformats.org/officeDocument/2006/relationships/hyperlink" Target="https://biodesign.stanford.edu/our-impact/stories/singapore-biodesign-affiliate-status.html" TargetMode="External"/><Relationship Id="rId71" Type="http://schemas.openxmlformats.org/officeDocument/2006/relationships/hyperlink" Target="https://www.a-star.edu.sg/sb/community_events/partnerships" TargetMode="External"/><Relationship Id="rId72" Type="http://schemas.openxmlformats.org/officeDocument/2006/relationships/hyperlink" Target="https://med.stanford.edu/ophthalmology/news-media/annual-reports/annualreport2025/a-global-education.html" TargetMode="External"/><Relationship Id="rId73" Type="http://schemas.openxmlformats.org/officeDocument/2006/relationships/hyperlink" Target="https://www.cuhkmc.hk/event/cuhk-medical-centre-joins-global-singhealth-fellowship-network-empowering-healthcare-leaders-through-cross-border-immersion-and-exchange" TargetMode="External"/><Relationship Id="rId74" Type="http://schemas.openxmlformats.org/officeDocument/2006/relationships/hyperlink" Target="https://www.ntu.edu.sg/docs/librariesprovider77/lkc-mbbs/programme-specification-of-imperial-ntu-mbbs-(years-3-5)-for-ay2025-26.pdf?sfvrsn=3a6e7785_1" TargetMode="External"/><Relationship Id="rId75" Type="http://schemas.openxmlformats.org/officeDocument/2006/relationships/hyperlink" Target="https://www.imperial.ac.uk/news/235334/imperial-ntu-singapore-explore-collaborations-after/" TargetMode="External"/><Relationship Id="rId76" Type="http://schemas.openxmlformats.org/officeDocument/2006/relationships/hyperlink" Target="https://www.karolinskahospital.com/news/singhealth-delegation-visits-karolinska-university-hospital-to-shape-the-future-of-sustainable-healthcare/" TargetMode="External"/><Relationship Id="rId77" Type="http://schemas.openxmlformats.org/officeDocument/2006/relationships/hyperlink" Target="https://www.ncc.go.jp/en/information/2026/0729/index.html" TargetMode="External"/><Relationship Id="rId78" Type="http://schemas.openxmlformats.org/officeDocument/2006/relationships/hyperlink" Target="https://www.nuhs.edu.sg/about-nuhs/news-and-stories/news-and-stories-details/the-national-university-hospital-and-ruijin-hospital--shanghai-jiao-tong-university-school-of-medicine-establish-key-partnership-for-collaborative-healthcare-innovations" TargetMode="External"/><Relationship Id="rId79" Type="http://schemas.openxmlformats.org/officeDocument/2006/relationships/hyperlink" Target="https://www.shsmu.edu.cn/english/info/1375/5041.htm" TargetMode="External"/><Relationship Id="rId80" Type="http://schemas.openxmlformats.org/officeDocument/2006/relationships/hyperlink" Target="https://medicine.nus.edu.sg/news/11th-nus-cambridge-joint-symposium-on-climate-and-heat-health-confronting-global-challenges-amidst-escalating-temperatures/" TargetMode="External"/><Relationship Id="rId81" Type="http://schemas.openxmlformats.org/officeDocument/2006/relationships/hyperlink" Target="https://medicine.nus.edu.sg/trp/human-potential/events/nus-cambridge-joint-symposium-climate-and-heat-health/" TargetMode="External"/><Relationship Id="rId82" Type="http://schemas.openxmlformats.org/officeDocument/2006/relationships/hyperlink" Target="https://www.goodtrials.org/good-trials-prism-partners-forum-convenes-in-switzerland/" TargetMode="External"/><Relationship Id="rId83" Type="http://schemas.openxmlformats.org/officeDocument/2006/relationships/hyperlink" Target="https://www.goodtrials.org/the-collaborative-joins-forces-with-leading-clinical-trial-networks-to-improve-clinical-research-in-low-resource-settings/" TargetMode="External"/><Relationship Id="rId84" Type="http://schemas.openxmlformats.org/officeDocument/2006/relationships/hyperlink" Target="https://sph.nus.edu.sg/news/advancing-clinical-evidence-in-infectious-diseases-advance-id/" TargetMode="External"/><Relationship Id="rId85" Type="http://schemas.openxmlformats.org/officeDocument/2006/relationships/hyperlink" Target="https://www.oucru.org/good-trials-prism/" TargetMode="External"/><Relationship Id="rId86" Type="http://schemas.openxmlformats.org/officeDocument/2006/relationships/hyperlink" Target="https://www.moh.gov.sg/newsroom/health-sciences-authority--amendment--and-other-matters-bill-to-consolidate-health-regulatory-functions/" TargetMode="External"/><Relationship Id="rId87" Type="http://schemas.openxmlformats.org/officeDocument/2006/relationships/hyperlink" Target="https://www.moh.gov.sg/newsroom/speech-by-mr-tan-kiat-how--senior-minister-of-state--ministry-of-digital-development-and-information---ministry-of-health--at-healthtechx-asia--6-may-2026/" TargetMode="External"/><Relationship Id="rId88" Type="http://schemas.openxmlformats.org/officeDocument/2006/relationships/hyperlink" Target="https://data.gov.sg/datasets/d_5257cff1ee5e6a16db6a9606a983efa4/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DC1E34"/>
      </a:accent1>
      <a:accent2>
        <a:srgbClr val="C0504D"/>
      </a:accent2>
      <a:accent3>
        <a:srgbClr val="9BBB59"/>
      </a:accent3>
      <a:accent4>
        <a:srgbClr val="8064A2"/>
      </a:accent4>
      <a:accent5>
        <a:srgbClr val="4BACC6"/>
      </a:accent5>
      <a:accent6>
        <a:srgbClr val="F79646"/>
      </a:accent6>
      <a:hlink>
        <a:srgbClr val="DC1E34"/>
      </a:hlink>
      <a:folHlink>
        <a:srgbClr val="DC1E34"/>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Sources</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