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200" w:line="2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18"/>
          <w:szCs w:val="18"/>
          <w:b w:val="1"/>
        </w:rPr>
        <w:t>COUNTRY PROFILE AND MARKET INTELLIGENCE</w:t>
      </w:r>
    </w:p>
    <w:p>
      <w:pPr>
        <w:pStyle w:val="Title"/>
        <w:widowControl/>
        <w:spacing w:before="0" w:after="80" w:line="70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60"/>
          <w:szCs w:val="60"/>
          <w:b w:val="1"/>
        </w:rPr>
        <w:t>Singapore</w:t>
      </w:r>
    </w:p>
    <w:p>
      <w:pPr>
        <w:widowControl/>
        <w:spacing w:before="0" w:after="300" w:line="340" w:lineRule="exact"/>
        <w:ind w:left="0" w:firstLine="0" w:right="0"/>
        <w:jc w:val="left"/>
      </w:pPr>
      <w:r>
        <w:rPr>
          <w:rFonts w:ascii="Arial" w:hAnsi="Arial" w:eastAsia="Arial" w:cs="Arial"/>
          <w:color w:val="242424"/>
          <w:sz w:val="26"/>
          <w:szCs w:val="26"/>
        </w:rPr>
        <w:t>Executive summary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3598536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apor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200" w:line="228" w:lineRule="exact"/>
        <w:ind w:left="0" w:firstLine="0" w:right="0"/>
        <w:jc w:val="right"/>
      </w:pPr>
      <w:r>
        <w:rPr>
          <w:rFonts w:ascii="Arial" w:hAnsi="Arial" w:eastAsia="Arial" w:cs="Arial"/>
          <w:color w:val="616161"/>
          <w:sz w:val="18"/>
          <w:szCs w:val="18"/>
        </w:rPr>
        <w:t>AI-generated depiction of Marina Bay Sands and the ArtScience Museum; not a photograph of the site.</w:t>
      </w:r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Contents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glance">
        <w:r>
          <w:rPr>
            <w:rFonts w:ascii="Arial" w:hAnsi="Arial" w:eastAsia="Arial" w:cs="Arial"/>
            <w:color w:val="242424"/>
            <w:sz w:val="21"/>
            <w:szCs w:val="21"/>
          </w:rPr>
          <w:t xml:space="preserve">At a glance</w:t>
        </w:r>
      </w:hyperlink>
      <w:r>
        <w:rPr>
          <w:rFonts w:ascii="Arial" w:hAnsi="Arial" w:eastAsia="Arial" w:cs="Arial"/>
          <w:color w:val="242424"/>
          <w:sz w:val="21"/>
          <w:szCs w:val="21"/>
        </w:rPr>
        <w:tab/>
        <w:t>2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health">
        <w:r>
          <w:rPr>
            <w:rFonts w:ascii="Arial" w:hAnsi="Arial" w:eastAsia="Arial" w:cs="Arial"/>
            <w:color w:val="242424"/>
            <w:sz w:val="21"/>
            <w:szCs w:val="21"/>
          </w:rPr>
          <w:t xml:space="preserve">Health system</w:t>
        </w:r>
      </w:hyperlink>
      <w:r>
        <w:rPr>
          <w:rFonts w:ascii="Arial" w:hAnsi="Arial" w:eastAsia="Arial" w:cs="Arial"/>
          <w:color w:val="242424"/>
          <w:sz w:val="21"/>
          <w:szCs w:val="21"/>
        </w:rPr>
        <w:tab/>
        <w:t>3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market">
        <w:r>
          <w:rPr>
            <w:rFonts w:ascii="Arial" w:hAnsi="Arial" w:eastAsia="Arial" w:cs="Arial"/>
            <w:color w:val="242424"/>
            <w:sz w:val="21"/>
            <w:szCs w:val="21"/>
          </w:rPr>
          <w:t xml:space="preserve">Market and competition</w:t>
        </w:r>
      </w:hyperlink>
      <w:r>
        <w:rPr>
          <w:rFonts w:ascii="Arial" w:hAnsi="Arial" w:eastAsia="Arial" w:cs="Arial"/>
          <w:color w:val="242424"/>
          <w:sz w:val="21"/>
          <w:szCs w:val="21"/>
        </w:rPr>
        <w:tab/>
        <w:t>4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institutions">
        <w:r>
          <w:rPr>
            <w:rFonts w:ascii="Arial" w:hAnsi="Arial" w:eastAsia="Arial" w:cs="Arial"/>
            <w:color w:val="242424"/>
            <w:sz w:val="21"/>
            <w:szCs w:val="21"/>
          </w:rPr>
          <w:t xml:space="preserve">Institution directory</w:t>
        </w:r>
      </w:hyperlink>
      <w:r>
        <w:rPr>
          <w:rFonts w:ascii="Arial" w:hAnsi="Arial" w:eastAsia="Arial" w:cs="Arial"/>
          <w:color w:val="242424"/>
          <w:sz w:val="21"/>
          <w:szCs w:val="21"/>
        </w:rPr>
        <w:tab/>
        <w:t>5</w:t>
      </w:r>
    </w:p>
    <w:p>
      <w:pPr>
        <w:widowControl/>
        <w:tabs>
          <w:tab w:pos="10080" w:val="right" w:leader="dot"/>
        </w:tabs>
        <w:spacing w:before="0" w:after="60" w:line="280" w:lineRule="exact"/>
        <w:ind w:left="0" w:firstLine="0" w:right="0"/>
        <w:jc w:val="left"/>
      </w:pPr>
      <w:hyperlink w:anchor="position">
        <w:r>
          <w:rPr>
            <w:rFonts w:ascii="Arial" w:hAnsi="Arial" w:eastAsia="Arial" w:cs="Arial"/>
            <w:color w:val="242424"/>
            <w:sz w:val="21"/>
            <w:szCs w:val="21"/>
          </w:rPr>
          <w:t xml:space="preserve">CSI position and risks</w:t>
        </w:r>
      </w:hyperlink>
      <w:r>
        <w:rPr>
          <w:rFonts w:ascii="Arial" w:hAnsi="Arial" w:eastAsia="Arial" w:cs="Arial"/>
          <w:color w:val="242424"/>
          <w:sz w:val="21"/>
          <w:szCs w:val="21"/>
        </w:rPr>
        <w:tab/>
        <w:t>6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Prepared 7 October 2026. Analyst review draft. Numbered citations refer to Singapore_Profile_DRAFT_SOURCES.docx.</w:t>
      </w:r>
    </w:p>
    <w:p>
      <w:pPr>
        <w:spacing w:before="0" w:after="0" w:line="20" w:lineRule="exact"/>
      </w:pPr>
      <w:r>
        <w:rPr>
          <w:rFonts w:ascii="Arial" w:hAnsi="Arial" w:eastAsia="Arial" w:cs="Arial"/>
          <w:color w:val="242424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718" w:name="glance"/>
      <w:r>
        <w:rPr>
          <w:rFonts w:ascii="Arial" w:hAnsi="Arial" w:eastAsia="Arial" w:cs="Arial"/>
          <w:color w:val="DC1E34"/>
          <w:sz w:val="42"/>
          <w:szCs w:val="42"/>
          <w:b w:val="1"/>
        </w:rPr>
        <w:t>At a glance</w:t>
      </w:r>
      <w:bookmarkEnd w:id="718"/>
    </w:p>
    <w:tbl>
      <w:tblPr>
        <w:tblW w:type="auto" w:w="0"/>
        <w:jc w:val="lef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32"/>
                <w:szCs w:val="32"/>
                <w:b w:val="1"/>
              </w:rPr>
              <w:t>6.21M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Total population, June 2026</w:t>
            </w:r>
            <w:hyperlink r:id="rId16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3</w:t>
              </w:r>
            </w:hyperlink>
          </w:p>
        </w:tc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32"/>
                <w:szCs w:val="32"/>
                <w:b w:val="1"/>
              </w:rPr>
              <w:t>19.5%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Residents aged 65+, June 2026</w:t>
            </w:r>
            <w:hyperlink r:id="rId17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7</w:t>
              </w:r>
            </w:hyperlink>
          </w:p>
        </w:tc>
      </w:tr>
      <w:tr>
        <w:trPr>
          <w:cantSplit/>
        </w:trPr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32"/>
                <w:szCs w:val="32"/>
                <w:b w:val="1"/>
              </w:rPr>
              <w:t>83.9 years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Resident life expectancy at birth, 2025</w:t>
            </w:r>
            <w:hyperlink r:id="rId17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7</w:t>
              </w:r>
            </w:hyperlink>
          </w:p>
        </w:tc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32"/>
                <w:szCs w:val="32"/>
                <w:b w:val="1"/>
              </w:rPr>
              <w:t>Int$163,354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GDP per capita, PPP, 2025</w:t>
            </w:r>
            <w:hyperlink r:id="rId18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5</w:t>
              </w:r>
            </w:hyperlink>
          </w:p>
        </w:tc>
      </w:tr>
      <w:tr>
        <w:trPr>
          <w:cantSplit/>
        </w:trPr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32"/>
                <w:szCs w:val="32"/>
                <w:b w:val="1"/>
              </w:rPr>
              <w:t>5.0%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Real GDP growth, 2025</w:t>
            </w:r>
            <w:hyperlink r:id="rId19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12</w:t>
              </w:r>
            </w:hyperlink>
          </w:p>
        </w:tc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32"/>
                <w:szCs w:val="32"/>
                <w:b w:val="1"/>
              </w:rPr>
              <w:t>US$3,922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Current health spending per person, 2023</w:t>
            </w:r>
            <w:hyperlink r:id="rId20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26</w:t>
              </w:r>
            </w:hyperlink>
          </w:p>
        </w:tc>
      </w:tr>
      <w:tr>
        <w:trPr>
          <w:cantSplit/>
        </w:trPr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32"/>
                <w:szCs w:val="32"/>
                <w:b w:val="1"/>
              </w:rPr>
              <w:t>2.9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Registered doctors per 1,000 total population, 2024</w:t>
            </w:r>
            <w:hyperlink r:id="rId21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30</w:t>
              </w:r>
            </w:hyperlink>
          </w:p>
        </w:tc>
        <w:tc>
          <w:tcPr>
            <w:tcW w:type="dxa" w:w="5040"/>
            <w:vAlign w:val="center"/>
            <w:shd w:val="clear" w:color="auto" w:fill="F7F7F7"/>
            <w:tcMar>
              <w:top w:type="dxa" w:w="95"/>
              <w:bottom w:type="dxa" w:w="95"/>
              <w:left w:type="dxa" w:w="130"/>
              <w:right w:type="dxa" w:w="130"/>
            </w:tcMar>
          </w:tcPr>
          <w:p>
            <w:pPr>
              <w:widowControl/>
              <w:spacing w:before="0" w:after="80" w:line="380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32"/>
                <w:szCs w:val="32"/>
                <w:b w:val="1"/>
              </w:rPr>
              <w:t>10,784</w:t>
            </w:r>
          </w:p>
          <w:p>
            <w:pPr>
              <w:widowControl/>
              <w:spacing w:before="0" w:after="0" w:line="224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616161"/>
                <w:sz w:val="18"/>
                <w:szCs w:val="18"/>
              </w:rPr>
              <w:t>Public acute hospital beds, 2025</w:t>
            </w:r>
            <w:hyperlink r:id="rId22">
              <w:r>
                <w:rPr>
                  <w:rFonts w:ascii="Arial" w:hAnsi="Arial" w:eastAsia="Arial" w:cs="Arial"/>
                  <w:vertAlign w:val="superscript"/>
                  <w:color w:val="DC1E34"/>
                  <w:sz w:val="16"/>
                  <w:szCs w:val="16"/>
                </w:rPr>
                <w:t xml:space="preserve">19</w:t>
              </w:r>
            </w:hyperlink>
          </w:p>
        </w:tc>
      </w:tr>
    </w:tbl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Country background</w:t>
      </w:r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Singapore is a city-state and parliamentary democratic republic, with Singapore as its capital.</w:t>
      </w:r>
      <w:hyperlink r:id="rId23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</w:t>
        </w:r>
      </w:hyperlink>
      <w:r>
        <w:rPr>
          <w:rFonts w:ascii="Arial" w:hAnsi="Arial" w:eastAsia="Arial" w:cs="Arial"/>
          <w:color w:val="242424"/>
          <w:sz w:val="22"/>
          <w:szCs w:val="22"/>
        </w:rPr>
        <w:t xml:space="preserve"> Prime Minister Lawrence Wong heads the government and holds the finance portfolio; President Tharman Shanmugaratnam is the non-partisan head of state.</w:t>
      </w:r>
      <w:hyperlink r:id="rId24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8,</w:t>
        </w:r>
      </w:hyperlink>
      <w:hyperlink r:id="rId25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9</w:t>
        </w:r>
      </w:hyperlink>
      <w:r>
        <w:rPr>
          <w:rFonts w:ascii="Arial" w:hAnsi="Arial" w:eastAsia="Arial" w:cs="Arial"/>
          <w:color w:val="242424"/>
          <w:sz w:val="22"/>
          <w:szCs w:val="22"/>
        </w:rPr>
        <w:t xml:space="preserve"> English, Malay, Mandarin and Tamil are official languages.</w:t>
      </w:r>
      <w:hyperlink r:id="rId26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</w:t>
        </w:r>
      </w:hyperlink>
      <w:r>
        <w:rPr>
          <w:rFonts w:ascii="Arial" w:hAnsi="Arial" w:eastAsia="Arial" w:cs="Arial"/>
          <w:color w:val="242424"/>
          <w:sz w:val="22"/>
          <w:szCs w:val="22"/>
        </w:rPr>
        <w:t xml:space="preserve"> The economy generated S$789.5 billion in nominal GDP in 2025.</w:t>
      </w:r>
      <w:hyperlink r:id="rId19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12</w:t>
        </w:r>
      </w:hyperlink>
      <w:r>
        <w:rPr>
          <w:rFonts w:ascii="Arial" w:hAnsi="Arial" w:eastAsia="Arial" w:cs="Arial"/>
          <w:color w:val="242424"/>
          <w:sz w:val="22"/>
          <w:szCs w:val="22"/>
        </w:rPr>
        <w:t xml:space="preserve"> Its Economy 2030 strategy emphasizes advanced manufacturing, skills and technology adoption.</w:t>
      </w:r>
      <w:hyperlink r:id="rId27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14</w:t>
        </w:r>
      </w:hyperlink>
      <w:r>
        <w:rPr>
          <w:rFonts w:ascii="Arial" w:hAnsi="Arial" w:eastAsia="Arial" w:cs="Arial"/>
          <w:color w:val="242424"/>
          <w:sz w:val="22"/>
          <w:szCs w:val="22"/>
        </w:rPr>
        <w:t xml:space="preserve"> In August 2026, the government raised its full-year growth forecast to 4.5% to 5.5%, citing stronger global investment related to artificial intelligence.</w:t>
      </w:r>
      <w:hyperlink r:id="rId2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13</w:t>
        </w:r>
      </w:hyperlink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Of 6.21 million people in June 2026, 4.23 million were residents, comprising citizens and permanent residents.</w:t>
      </w:r>
      <w:hyperlink r:id="rId16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</w:t>
        </w:r>
      </w:hyperlink>
      <w:r>
        <w:rPr>
          <w:rFonts w:ascii="Arial" w:hAnsi="Arial" w:eastAsia="Arial" w:cs="Arial"/>
          <w:color w:val="242424"/>
          <w:sz w:val="22"/>
          <w:szCs w:val="22"/>
        </w:rPr>
        <w:t xml:space="preserve"> Aging is a central healthcare demand driver: people aged 65 and older represented 19.5% of residents and 21.4% of citizens.</w:t>
      </w:r>
      <w:hyperlink r:id="rId16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3,</w:t>
        </w:r>
      </w:hyperlink>
      <w:hyperlink r:id="rId17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7</w:t>
        </w:r>
      </w:hyperlink>
      <w:r>
        <w:rPr>
          <w:rFonts w:ascii="Arial" w:hAnsi="Arial" w:eastAsia="Arial" w:cs="Arial"/>
          <w:color w:val="242424"/>
          <w:sz w:val="22"/>
          <w:szCs w:val="22"/>
        </w:rPr>
        <w:t xml:space="preserve"> The resident fertility rate fell to 0.87 births per woman in 2025.</w:t>
      </w:r>
      <w:hyperlink r:id="rId17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7</w:t>
        </w:r>
      </w:hyperlink>
      <w:r>
        <w:rPr>
          <w:rFonts w:ascii="Arial" w:hAnsi="Arial" w:eastAsia="Arial" w:cs="Arial"/>
          <w:color w:val="242424"/>
          <w:sz w:val="22"/>
          <w:szCs w:val="22"/>
        </w:rPr>
        <w:t xml:space="preserve"> Cancer, pneumonia and ischemic heart disease led recorded mortality in 2025, while national policy increasingly emphasizes prevention, community support and coordinated care.</w:t>
      </w:r>
      <w:hyperlink r:id="rId29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15,</w:t>
        </w:r>
      </w:hyperlink>
      <w:hyperlink r:id="rId30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21,</w:t>
        </w:r>
      </w:hyperlink>
      <w:hyperlink r:id="rId31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36</w:t>
        </w:r>
      </w:hyperlink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Key takeaways for CSI</w:t>
      </w:r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Three public healthcare clusters combine service delivery with regional population-health responsibilities.</w:t>
      </w:r>
      <w:hyperlink r:id="rId32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11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Healthier SG connects residents aged 40 and older with regular family doctors and prevention plans.</w:t>
      </w:r>
      <w:hyperlink r:id="rId30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21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MOH plans approximately 2,800 additional public acute and community beds by 2030.</w:t>
      </w:r>
      <w:hyperlink r:id="rId33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20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International academic relationships span medical education, cardiovascular research and specialist knowledge exchange.</w:t>
      </w:r>
      <w:hyperlink r:id="rId34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38,</w:t>
        </w:r>
      </w:hyperlink>
      <w:hyperlink r:id="rId35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39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42424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730" w:name="health"/>
      <w:r>
        <w:rPr>
          <w:rFonts w:ascii="Arial" w:hAnsi="Arial" w:eastAsia="Arial" w:cs="Arial"/>
          <w:color w:val="DC1E34"/>
          <w:sz w:val="42"/>
          <w:szCs w:val="42"/>
          <w:b w:val="1"/>
        </w:rPr>
        <w:t>Health system</w:t>
      </w:r>
      <w:bookmarkEnd w:id="730"/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Financing combines public subsidies, compulsory medical savings, national catastrophic insurance and means-tested assistance.</w:t>
      </w:r>
      <w:hyperlink r:id="rId36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22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MediShield Life provides lifelong coverage for citizens and permanent residents.</w:t>
      </w:r>
      <w:hyperlink r:id="rId37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29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Registered workforce ratios include inactive practitioners and differ from OECD practicing-workforce measures.</w:t>
      </w:r>
      <w:hyperlink r:id="rId3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28,</w:t>
        </w:r>
      </w:hyperlink>
      <w:hyperlink r:id="rId21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30</w:t>
        </w:r>
      </w:hyperlink>
    </w:p>
    <w:p>
      <w:pPr>
        <w:keepNext/>
        <w:widowControl/>
        <w:spacing w:before="12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242424"/>
          <w:sz w:val="21"/>
          <w:szCs w:val="21"/>
          <w:b w:val="1"/>
        </w:rPr>
        <w:t>Health spending per person, 2016 to 2023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2011680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100" w:line="210" w:lineRule="exact"/>
        <w:ind w:left="0" w:right="0" w:firstLine="0"/>
        <w:jc w:val="left"/>
      </w:pPr>
      <w:r>
        <w:rPr>
          <w:rFonts w:ascii="Arial" w:hAnsi="Arial" w:eastAsia="Arial" w:cs="Arial"/>
          <w:color w:val="616161"/>
          <w:sz w:val="17"/>
          <w:szCs w:val="17"/>
        </w:rPr>
        <w:t xml:space="preserve">Current health expenditure; nominal US dollars, not inflation-adjusted or PPP-adjusted. Sources: </w:t>
      </w:r>
      <w:hyperlink r:id="rId20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26</w:t>
        </w:r>
      </w:hyperlink>
    </w:p>
    <w:p>
      <w:pPr>
        <w:keepNext/>
        <w:widowControl/>
        <w:spacing w:before="12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242424"/>
          <w:sz w:val="21"/>
          <w:szCs w:val="21"/>
          <w:b w:val="1"/>
        </w:rPr>
        <w:t>Health workforce density, 2015 to 2024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242316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100" w:line="210" w:lineRule="exact"/>
        <w:ind w:left="0" w:right="0" w:firstLine="0"/>
        <w:jc w:val="left"/>
      </w:pPr>
      <w:r>
        <w:rPr>
          <w:rFonts w:ascii="Arial" w:hAnsi="Arial" w:eastAsia="Arial" w:cs="Arial"/>
          <w:color w:val="616161"/>
          <w:sz w:val="17"/>
          <w:szCs w:val="17"/>
        </w:rPr>
        <w:t xml:space="preserve">MOH/SingStat registration-based series; nurses include registered and enrolled nurses and midwives. Published per-10,000 rates divided by 10. Sources: </w:t>
      </w:r>
      <w:hyperlink r:id="rId41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74</w:t>
        </w:r>
      </w:hyperlink>
    </w:p>
    <w:p>
      <w:pPr>
        <w:spacing w:before="0" w:after="0" w:line="20" w:lineRule="exact"/>
      </w:pPr>
      <w:r>
        <w:rPr>
          <w:rFonts w:ascii="Arial" w:hAnsi="Arial" w:eastAsia="Arial" w:cs="Arial"/>
          <w:color w:val="242424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744" w:name="market"/>
      <w:r>
        <w:rPr>
          <w:rFonts w:ascii="Arial" w:hAnsi="Arial" w:eastAsia="Arial" w:cs="Arial"/>
          <w:color w:val="DC1E34"/>
          <w:sz w:val="42"/>
          <w:szCs w:val="42"/>
          <w:b w:val="1"/>
        </w:rPr>
        <w:t>Market and competition</w:t>
      </w:r>
      <w:bookmarkEnd w:id="744"/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Eight private acute hospitals provided 1,649 beds in 2025.</w:t>
      </w:r>
      <w:hyperlink r:id="rId42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18,</w:t>
        </w:r>
      </w:hyperlink>
      <w:hyperlink r:id="rId22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19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Private primary care included 2,777 general-practitioner clinics in 2025.</w:t>
      </w:r>
      <w:hyperlink r:id="rId42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18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Raffles Hospital supports international patients through clinical appointments and non-medical assistance.</w:t>
      </w:r>
      <w:hyperlink r:id="rId43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24</w:t>
        </w:r>
      </w:hyperlink>
    </w:p>
    <w:p>
      <w:pPr>
        <w:keepNext/>
        <w:widowControl/>
        <w:spacing w:before="12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242424"/>
          <w:sz w:val="21"/>
          <w:szCs w:val="21"/>
          <w:b w:val="1"/>
        </w:rPr>
        <w:t>Hospital bed capacity by ownership and care setting, 2025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219456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100" w:line="210" w:lineRule="exact"/>
        <w:ind w:left="0" w:right="0" w:firstLine="0"/>
        <w:jc w:val="left"/>
      </w:pPr>
      <w:r>
        <w:rPr>
          <w:rFonts w:ascii="Arial" w:hAnsi="Arial" w:eastAsia="Arial" w:cs="Arial"/>
          <w:color w:val="616161"/>
          <w:sz w:val="17"/>
          <w:szCs w:val="17"/>
        </w:rPr>
        <w:t xml:space="preserve">Mutually exclusive hospital-bed categories; nursing-home beds are excluded. Sources: </w:t>
      </w:r>
      <w:hyperlink r:id="rId22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19</w:t>
        </w:r>
      </w:hyperlink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International institutional collaboration</w:t>
      </w:r>
    </w:p>
    <w:p>
      <w:pPr>
        <w:keepNext/>
        <w:spacing w:after="120" w:before="60" w:line="240" w:lineRule="auto"/>
        <w:ind w:left="0" w:firstLine="0" w:right="0"/>
      </w:pPr>
      <w:r>
        <w:drawing>
          <wp:inline xmlns:a="http://schemas.openxmlformats.org/drawingml/2006/main" xmlns:pic="http://schemas.openxmlformats.org/drawingml/2006/picture" distL="0" distR="0" distT="0" distB="0">
            <wp:extent cx="6400800" cy="2788920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apore_partnerships_map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Active external institutional collaborations, reviewed 7 October 2026. Directory totals exclude Cedars-Sinai. Map: Natural Earth, public domain. Counts describe relationships in the country, not hospital ownership or facility locations.</w:t>
      </w:r>
    </w:p>
    <w:p>
      <w:pPr>
        <w:spacing w:before="0" w:after="0" w:line="20" w:lineRule="exact"/>
      </w:pPr>
      <w:r>
        <w:rPr>
          <w:rFonts w:ascii="Arial" w:hAnsi="Arial" w:eastAsia="Arial" w:cs="Arial"/>
          <w:color w:val="242424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1441" w:name="institutions"/>
      <w:r>
        <w:rPr>
          <w:rFonts w:ascii="Arial" w:hAnsi="Arial" w:eastAsia="Arial" w:cs="Arial"/>
          <w:color w:val="DC1E34"/>
          <w:sz w:val="42"/>
          <w:szCs w:val="42"/>
          <w:b w:val="1"/>
        </w:rPr>
        <w:t>Institution directory</w:t>
      </w:r>
      <w:bookmarkEnd w:id="1441"/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21 foreign institutions with dated evidence of active collaboration. Entries 1 to 21. Detailed evidence appears in the profile and tracker.</w:t>
      </w:r>
    </w:p>
    <w:tbl>
      <w:tblPr>
        <w:tblW w:type="dxa" w:w="10080"/>
        <w:jc w:val="lef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firstColumn="1" w:firstRow="1" w:lastColumn="0" w:lastRow="0" w:noHBand="0" w:noVBand="1" w:val="04A0"/>
      </w:tblPr>
      <w:tblGrid>
        <w:gridCol w:w="6192"/>
        <w:gridCol w:w="3888"/>
      </w:tblGrid>
      <w:tr>
        <w:trPr>
          <w:tblHeader/>
          <w:cantSplit/>
        </w:trPr>
        <w:tc>
          <w:tcPr>
            <w:tcW w:type="dxa" w:w="6192"/>
            <w:shd w:val="clear" w:color="auto" w:fill="DC1E34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Next/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FFFFFF"/>
                <w:sz w:val="21"/>
                <w:szCs w:val="21"/>
                <w:b w:val="1"/>
              </w:rPr>
              <w:t>Institution</w:t>
            </w:r>
          </w:p>
        </w:tc>
        <w:tc>
          <w:tcPr>
            <w:tcW w:type="dxa" w:w="3888"/>
            <w:shd w:val="clear" w:color="auto" w:fill="DC1E34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Next/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FFFFFF"/>
                <w:sz w:val="21"/>
                <w:szCs w:val="21"/>
                <w:b w:val="1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Duke University School of Medicine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Research collaboration, 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Harvard University (Harvard T.H. Chan School of Public Health)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Research collaboration, 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Johns Hopkins Health System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Mayo Clinic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Methodist Le Bonheur Healthcare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Michigan Medicine (University of Michigan)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Research collaboration, 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Mount Sinai Health System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NYC Health + Hospitals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Northwell Health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Stanford Health Care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Stanford Medicine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Research collaboration, 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Beijing Tsinghua Changgung Hospital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CUHK Medical Centre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Imperial College London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Karolinska University Hospital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National Cancer Center Japan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Ruijin Hospital (Shanghai Jiao Tong University School of Medicine)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Shanghai Jiao Tong University School of Medicine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University Health Network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University of Cambridge School of Clinical Medicine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Research exchange through joint symposia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b/>
                <w:color w:val="242424"/>
                <w:sz w:val="21"/>
                <w:szCs w:val="21"/>
              </w:rPr>
              <w:t>University of Oxford (Oxford University Clinical Research Unit)</w:t>
            </w:r>
          </w:p>
        </w:tc>
        <w:tc>
          <w:tcPr>
            <w:tcW w:type="dxa" w:w="3888"/>
            <w:vAlign w:val="center"/>
            <w:tcMar>
              <w:top w:type="dxa" w:w="50"/>
              <w:bottom w:type="dxa" w:w="50"/>
              <w:left w:type="dxa" w:w="110"/>
              <w:right w:type="dxa" w:w="110"/>
            </w:tcMar>
            <w:shd w:val="clear" w:color="auto" w:fill="F6F6F6"/>
          </w:tcPr>
          <w:p>
            <w:pPr>
              <w:keepLines/>
              <w:widowControl/>
              <w:spacing w:before="0" w:after="0" w:line="252" w:lineRule="exact"/>
              <w:ind w:left="0" w:firstLine="0" w:right="0"/>
              <w:jc w:val="left"/>
            </w:pPr>
            <w:r>
              <w:rPr>
                <w:rFonts w:ascii="Arial" w:hAnsi="Arial" w:eastAsia="Arial" w:cs="Arial"/>
                <w:color w:val="242424"/>
                <w:sz w:val="21"/>
                <w:szCs w:val="21"/>
              </w:rPr>
              <w:t>Clinical-trial capacity development and training</w:t>
            </w:r>
          </w:p>
        </w:tc>
      </w:tr>
    </w:tbl>
    <w:p>
      <w:pPr>
        <w:widowControl/>
        <w:spacing w:before="0" w:after="60" w:line="40" w:lineRule="exact"/>
        <w:ind w:left="0" w:firstLine="0" w:right="0"/>
        <w:jc w:val="left"/>
      </w:pPr>
    </w:p>
    <w:p>
      <w:pPr>
        <w:spacing w:before="0" w:after="0" w:line="20" w:lineRule="exact"/>
      </w:pPr>
      <w:r>
        <w:rPr>
          <w:rFonts w:ascii="Arial" w:hAnsi="Arial" w:eastAsia="Arial" w:cs="Arial"/>
          <w:color w:val="242424"/>
          <w:sz w:val="2"/>
          <w:szCs w:val="2"/>
        </w:rPr>
        <w:br w:type="page"/>
      </w:r>
    </w:p>
    <w:p>
      <w:pPr>
        <w:pStyle w:val="Heading1"/>
        <w:keepNext/>
        <w:keepLines/>
        <w:widowControl/>
        <w:spacing w:before="0" w:after="260" w:line="500" w:lineRule="exact"/>
        <w:ind w:left="0" w:firstLine="0" w:right="0"/>
        <w:jc w:val="left"/>
      </w:pPr>
      <w:bookmarkStart w:id="985" w:name="position"/>
      <w:r>
        <w:rPr>
          <w:rFonts w:ascii="Arial" w:hAnsi="Arial" w:eastAsia="Arial" w:cs="Arial"/>
          <w:color w:val="DC1E34"/>
          <w:sz w:val="42"/>
          <w:szCs w:val="42"/>
          <w:b w:val="1"/>
        </w:rPr>
        <w:t>CSI position and risks</w:t>
      </w:r>
      <w:bookmarkEnd w:id="985"/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CSI partnerships in Singapore</w:t>
      </w:r>
    </w:p>
    <w:p>
      <w:pPr>
        <w:widowControl/>
        <w:spacing w:before="0" w:after="100" w:line="28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20"/>
          <w:szCs w:val="20"/>
        </w:rPr>
        <w:t>[MANUAL INPUT REQUIRED]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To be completed by CSI from internal data and relationship assessment.</w:t>
      </w:r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Opportunities for CSI</w:t>
      </w:r>
    </w:p>
    <w:p>
      <w:pPr>
        <w:widowControl/>
        <w:spacing w:before="0" w:after="100" w:line="28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20"/>
          <w:szCs w:val="20"/>
        </w:rPr>
        <w:t>[MANUAL INPUT REQUIRED]</w:t>
      </w:r>
    </w:p>
    <w:p>
      <w:pPr>
        <w:keepLines/>
        <w:widowControl/>
        <w:spacing w:before="0" w:after="160" w:line="228" w:lineRule="exact"/>
        <w:ind w:left="0" w:firstLine="0" w:right="0"/>
        <w:jc w:val="left"/>
      </w:pPr>
      <w:r>
        <w:rPr>
          <w:rFonts w:ascii="Arial" w:hAnsi="Arial" w:eastAsia="Arial" w:cs="Arial"/>
          <w:color w:val="616161"/>
          <w:sz w:val="18"/>
          <w:szCs w:val="18"/>
        </w:rPr>
        <w:t>To be completed by CSI from internal data and relationship assessment.</w:t>
      </w:r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Risks and watch items</w:t>
      </w:r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More than half of hypertensive residents aged 18 to 74 examined in 2023 to 2024 were previously undiagnosed.</w:t>
      </w:r>
      <w:hyperlink r:id="rId46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16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The healthcare workforce is projected to rise from 129,000 in 2024 to approximately 156,000 by 2030.</w:t>
      </w:r>
      <w:hyperlink r:id="rId47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31</w:t>
        </w:r>
      </w:hyperlink>
    </w:p>
    <w:p>
      <w:pPr>
        <w:keepLines/>
        <w:widowControl/>
        <w:tabs>
          <w:tab w:pos="216" w:val="left"/>
        </w:tabs>
        <w:spacing w:before="0" w:after="120" w:line="288" w:lineRule="exact"/>
        <w:ind w:left="216" w:right="0" w:hanging="216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•</w:t>
        <w:tab/>
      </w:r>
      <w:r>
        <w:rPr>
          <w:rFonts w:ascii="Arial" w:hAnsi="Arial" w:eastAsia="Arial" w:cs="Arial"/>
          <w:color w:val="242424"/>
          <w:sz w:val="22"/>
          <w:szCs w:val="22"/>
        </w:rPr>
        <w:t>Health-information contribution requirements phase in from September 2027 and September 2028.</w:t>
      </w:r>
      <w:hyperlink r:id="rId4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37</w:t>
        </w:r>
      </w:hyperlink>
    </w:p>
    <w:p>
      <w:pPr>
        <w:pStyle w:val="Heading2"/>
        <w:keepNext/>
        <w:keepLines/>
        <w:widowControl/>
        <w:spacing w:before="200" w:after="140" w:line="32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5"/>
          <w:szCs w:val="25"/>
          <w:b w:val="1"/>
        </w:rPr>
        <w:t>Recent developments</w:t>
      </w:r>
    </w:p>
    <w:p>
      <w:pPr>
        <w:keepNext/>
        <w:widowControl/>
        <w:spacing w:before="10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0"/>
          <w:szCs w:val="20"/>
          <w:b w:val="1"/>
        </w:rPr>
        <w:t>2026-10-03</w:t>
      </w:r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NPHS 2025 reported 87.3% of residents aged 18 to 74 met the sufficient-physical-activity definition.</w:t>
      </w:r>
      <w:hyperlink r:id="rId49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17</w:t>
        </w:r>
      </w:hyperlink>
    </w:p>
    <w:p>
      <w:pPr>
        <w:keepNext/>
        <w:widowControl/>
        <w:spacing w:before="10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0"/>
          <w:szCs w:val="20"/>
          <w:b w:val="1"/>
        </w:rPr>
        <w:t>2026-09-09</w:t>
      </w:r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MOH announced regulatory consolidation under HSA, with transfers scheduled for November 2026 and by end-2027.</w:t>
      </w:r>
      <w:hyperlink r:id="rId50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72</w:t>
        </w:r>
      </w:hyperlink>
    </w:p>
    <w:p>
      <w:pPr>
        <w:keepNext/>
        <w:widowControl/>
        <w:spacing w:before="100" w:after="80" w:line="260" w:lineRule="exact"/>
        <w:ind w:left="0" w:firstLine="0" w:right="0"/>
        <w:jc w:val="left"/>
      </w:pPr>
      <w:r>
        <w:rPr>
          <w:rFonts w:ascii="Arial" w:hAnsi="Arial" w:eastAsia="Arial" w:cs="Arial"/>
          <w:color w:val="DC1E34"/>
          <w:sz w:val="20"/>
          <w:szCs w:val="20"/>
          <w:b w:val="1"/>
        </w:rPr>
        <w:t>2026-05-06</w:t>
      </w:r>
    </w:p>
    <w:p>
      <w:pPr>
        <w:keepLines/>
        <w:widowControl/>
        <w:spacing w:before="0" w:after="120" w:line="288" w:lineRule="exact"/>
        <w:ind w:left="0" w:firstLine="0" w:right="0"/>
        <w:jc w:val="left"/>
      </w:pPr>
      <w:r>
        <w:rPr>
          <w:rFonts w:ascii="Arial" w:hAnsi="Arial" w:eastAsia="Arial" w:cs="Arial"/>
          <w:color w:val="242424"/>
          <w:sz w:val="22"/>
          <w:szCs w:val="22"/>
        </w:rPr>
        <w:t>MOH outlined phased health-record contributions following February 2026 enactment of the Health Information Act.</w:t>
      </w:r>
      <w:hyperlink r:id="rId48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37,</w:t>
        </w:r>
      </w:hyperlink>
      <w:hyperlink r:id="rId51">
        <w:r>
          <w:rPr>
            <w:rFonts w:ascii="Arial" w:hAnsi="Arial" w:eastAsia="Arial" w:cs="Arial"/>
            <w:vertAlign w:val="superscript"/>
            <w:color w:val="DC1E34"/>
            <w:sz w:val="16"/>
            <w:szCs w:val="16"/>
          </w:rPr>
          <w:t xml:space="preserve">73</w:t>
        </w:r>
      </w:hyperlink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79" w:right="1080" w:bottom="979" w:left="1080" w:header="10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/>
      <w:tabs>
        <w:tab w:pos="10080" w:val="right"/>
      </w:tabs>
      <w:spacing w:before="0" w:after="0" w:line="200" w:lineRule="exact"/>
      <w:ind w:left="0" w:firstLine="0" w:right="0"/>
      <w:jc w:val="left"/>
    </w:pPr>
    <w:r>
      <w:rPr>
        <w:rFonts w:ascii="Arial" w:hAnsi="Arial" w:eastAsia="Arial" w:cs="Arial"/>
        <w:color w:val="76777A"/>
        <w:sz w:val="15"/>
        <w:szCs w:val="16"/>
      </w:rPr>
      <w:t>Executive summary  |  Analyst review draft  |  7 October 2026</w:t>
      <w:tab/>
    </w:r>
    <w:r>
      <w:rPr>
        <w:rFonts w:ascii="Arial" w:hAnsi="Arial" w:eastAsia="Arial" w:cs="Arial"/>
        <w:color w:val="76777A"/>
        <w:sz w:val="15"/>
        <w:szCs w:val="16"/>
      </w:rPr>
      <w:fldChar w:fldCharType="begin"/>
    </w:r>
    <w:r>
      <w:rPr>
        <w:rFonts w:ascii="Arial" w:hAnsi="Arial" w:eastAsia="Arial" w:cs="Arial"/>
        <w:color w:val="76777A"/>
        <w:sz w:val="15"/>
        <w:szCs w:val="16"/>
      </w:rPr>
      <w:instrText xml:space="preserve"> PAGE </w:instrText>
    </w:r>
    <w:r>
      <w:rPr>
        <w:rFonts w:ascii="Arial" w:hAnsi="Arial" w:eastAsia="Arial" w:cs="Arial"/>
        <w:color w:val="76777A"/>
        <w:sz w:val="15"/>
        <w:szCs w:val="16"/>
      </w:rPr>
      <w:fldChar w:fldCharType="separate"/>
    </w:r>
    <w:r>
      <w:rPr>
        <w:rFonts w:ascii="Arial" w:hAnsi="Arial" w:eastAsia="Arial" w:cs="Arial"/>
        <w:color w:val="76777A"/>
        <w:sz w:val="15"/>
        <w:szCs w:val="16"/>
      </w:rPr>
      <w:t>1</w:t>
    </w:r>
    <w:r>
      <w:rPr>
        <w:rFonts w:ascii="Arial" w:hAnsi="Arial" w:eastAsia="Arial" w:cs="Arial"/>
        <w:color w:val="76777A"/>
        <w:sz w:val="15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rPr>
        <w:rFonts w:ascii="Arial" w:hAnsi="Arial"/>
        <w:color w:val="76777A"/>
        <w:sz w:val="15"/>
      </w:rPr>
      <w:t>Cedars-Sinai International | Singapore</w:t>
      <w:tab/>
    </w: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</w:pPr>
    <w:r>
      <w:rPr>
        <w:rFonts w:ascii="Arial" w:hAnsi="Arial"/>
        <w:color w:val="76777A"/>
        <w:sz w:val="15"/>
      </w:rPr>
      <w:t>Cedars-Sinai International | Singapore</w:t>
      <w:tab/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80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SINGAPORE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80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SINGAPORE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080" w:val="right"/>
      </w:tabs>
      <w:spacing w:after="0" w:before="0"/>
    </w:pPr>
    <w:r>
      <w:drawing>
        <wp:inline xmlns:a="http://schemas.openxmlformats.org/drawingml/2006/main" xmlns:pic="http://schemas.openxmlformats.org/drawingml/2006/picture">
          <wp:extent cx="1645920" cy="493179"/>
          <wp:docPr id="1" name="Picture 1" descr="Cedars-Sinai International official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si-internat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45920" cy="49317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76777A"/>
        <w:sz w:val="14"/>
      </w:rPr>
      <w:tab/>
      <w:t>SINGAPORE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  <w:updateFields w:val="false"/>
  <w:autoHyphenation w:val="false"/>
  <w:doNotHyphenateCap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before="0" w:line="276" w:lineRule="auto"/>
      <w:ind w:left="0" w:right="0" w:firstLine="0"/>
    </w:pPr>
    <w:rPr>
      <w:rFonts w:ascii="Arial" w:hAnsi="Arial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276" w:lineRule="auto"/>
      <w:ind w:left="0" w:right="0" w:firstLine="0"/>
      <w:outlineLvl w:val="0"/>
    </w:pPr>
    <w:rPr>
      <w:rFonts w:ascii="Arial" w:hAnsi="Arial" w:eastAsia="Arial" w:cs="Arial"/>
      <w:b/>
      <w:bCs/>
      <w:color w:val="DC1E34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40" w:line="276" w:lineRule="auto"/>
      <w:ind w:left="0" w:right="0" w:firstLine="0"/>
      <w:outlineLvl w:val="1"/>
    </w:pPr>
    <w:rPr>
      <w:rFonts w:ascii="Arial" w:hAnsi="Arial" w:eastAsia="Arial" w:cs="Arial"/>
      <w:b/>
      <w:bCs/>
      <w:color w:val="DC1E3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40" w:line="276" w:lineRule="auto"/>
      <w:ind w:left="0" w:right="0" w:firstLine="0"/>
      <w:outlineLvl w:val="2"/>
    </w:pPr>
    <w:rPr>
      <w:rFonts w:ascii="Arial" w:hAnsi="Arial" w:eastAsia="Arial" w:cs="Arial"/>
      <w:b/>
      <w:bCs/>
      <w:color w:val="DC1E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2424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24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24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2424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242424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242424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24242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24242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2424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 w:before="0"/>
      <w:ind w:left="0" w:right="0" w:firstLine="0"/>
      <w:contextualSpacing/>
    </w:pPr>
    <w:rPr>
      <w:rFonts w:ascii="Arial" w:hAnsi="Arial" w:eastAsia="Arial" w:cs="Arial"/>
      <w:color w:val="DC1E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242424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before="0" w:line="276" w:lineRule="auto"/>
      <w:ind w:left="0" w:right="0" w:firstLine="0"/>
    </w:pPr>
    <w:rPr>
      <w:rFonts w:ascii="Arial" w:hAnsi="Arial" w:eastAsia="Arial" w:cs="Arial"/>
      <w:i/>
      <w:iCs/>
      <w:color w:val="61616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24242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2424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2424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2424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24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24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2424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242424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242424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24242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2424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2424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2424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2424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2424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242424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424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2424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424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2424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424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2424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424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2424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424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2424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424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2424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424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2424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424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4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2424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2424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2424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2424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2424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2424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242424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242424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242424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242424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242424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242424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2424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242424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2424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2424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2424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2424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2424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2424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2424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2424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2424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2424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2424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2424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2424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2424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2424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2424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2424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2424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2424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2424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2424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2424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2424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2424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2424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2424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2424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2424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424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242424"/>
      </w:rPr>
    </w:tblStylePr>
    <w:tblStylePr w:type="nwCell">
      <w:rPr>
        <w:color w:val="2424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424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242424"/>
      </w:rPr>
    </w:tblStylePr>
    <w:tblStylePr w:type="nwCell">
      <w:rPr>
        <w:color w:val="2424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424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242424"/>
      </w:rPr>
    </w:tblStylePr>
    <w:tblStylePr w:type="nwCell">
      <w:rPr>
        <w:color w:val="2424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424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424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242424"/>
      </w:rPr>
    </w:tblStylePr>
    <w:tblStylePr w:type="nwCell">
      <w:rPr>
        <w:color w:val="2424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424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242424"/>
      </w:rPr>
    </w:tblStylePr>
    <w:tblStylePr w:type="nwCell">
      <w:rPr>
        <w:color w:val="2424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2424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2424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242424"/>
      </w:rPr>
    </w:tblStylePr>
    <w:tblStylePr w:type="nwCell">
      <w:rPr>
        <w:color w:val="2424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2424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2424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2424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2424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2424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2424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2424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2424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242424"/>
      </w:rPr>
      <w:tblPr/>
      <w:tcPr>
        <w:shd w:val="clear" w:color="auto" w:fill="999999" w:themeFill="text1" w:themeFillTint="66"/>
      </w:tcPr>
    </w:tblStylePr>
    <w:tblStylePr w:type="firstCol">
      <w:rPr>
        <w:color w:val="242424"/>
      </w:rPr>
      <w:tblPr/>
      <w:tcPr>
        <w:shd w:val="clear" w:color="auto" w:fill="000000" w:themeFill="text1" w:themeFillShade="BF"/>
      </w:tcPr>
    </w:tblStylePr>
    <w:tblStylePr w:type="lastCol">
      <w:rPr>
        <w:color w:val="2424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242424"/>
      </w:rPr>
      <w:tblPr/>
      <w:tcPr>
        <w:shd w:val="clear" w:color="auto" w:fill="B8CCE4" w:themeFill="accent1" w:themeFillTint="66"/>
      </w:tcPr>
    </w:tblStylePr>
    <w:tblStylePr w:type="firstCol">
      <w:rPr>
        <w:color w:val="242424"/>
      </w:rPr>
      <w:tblPr/>
      <w:tcPr>
        <w:shd w:val="clear" w:color="auto" w:fill="365F91" w:themeFill="accent1" w:themeFillShade="BF"/>
      </w:tcPr>
    </w:tblStylePr>
    <w:tblStylePr w:type="lastCol">
      <w:rPr>
        <w:color w:val="2424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242424"/>
      </w:rPr>
      <w:tblPr/>
      <w:tcPr>
        <w:shd w:val="clear" w:color="auto" w:fill="E5B8B7" w:themeFill="accent2" w:themeFillTint="66"/>
      </w:tcPr>
    </w:tblStylePr>
    <w:tblStylePr w:type="firstCol">
      <w:rPr>
        <w:color w:val="242424"/>
      </w:rPr>
      <w:tblPr/>
      <w:tcPr>
        <w:shd w:val="clear" w:color="auto" w:fill="943634" w:themeFill="accent2" w:themeFillShade="BF"/>
      </w:tcPr>
    </w:tblStylePr>
    <w:tblStylePr w:type="lastCol">
      <w:rPr>
        <w:color w:val="2424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242424"/>
      </w:rPr>
      <w:tblPr/>
      <w:tcPr>
        <w:shd w:val="clear" w:color="auto" w:fill="D6E3BC" w:themeFill="accent3" w:themeFillTint="66"/>
      </w:tcPr>
    </w:tblStylePr>
    <w:tblStylePr w:type="firstCol">
      <w:rPr>
        <w:color w:val="242424"/>
      </w:rPr>
      <w:tblPr/>
      <w:tcPr>
        <w:shd w:val="clear" w:color="auto" w:fill="76923C" w:themeFill="accent3" w:themeFillShade="BF"/>
      </w:tcPr>
    </w:tblStylePr>
    <w:tblStylePr w:type="lastCol">
      <w:rPr>
        <w:color w:val="2424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242424"/>
      </w:rPr>
      <w:tblPr/>
      <w:tcPr>
        <w:shd w:val="clear" w:color="auto" w:fill="CCC0D9" w:themeFill="accent4" w:themeFillTint="66"/>
      </w:tcPr>
    </w:tblStylePr>
    <w:tblStylePr w:type="firstCol">
      <w:rPr>
        <w:color w:val="242424"/>
      </w:rPr>
      <w:tblPr/>
      <w:tcPr>
        <w:shd w:val="clear" w:color="auto" w:fill="5F497A" w:themeFill="accent4" w:themeFillShade="BF"/>
      </w:tcPr>
    </w:tblStylePr>
    <w:tblStylePr w:type="lastCol">
      <w:rPr>
        <w:color w:val="2424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242424"/>
      </w:rPr>
      <w:tblPr/>
      <w:tcPr>
        <w:shd w:val="clear" w:color="auto" w:fill="B6DDE8" w:themeFill="accent5" w:themeFillTint="66"/>
      </w:tcPr>
    </w:tblStylePr>
    <w:tblStylePr w:type="firstCol">
      <w:rPr>
        <w:color w:val="242424"/>
      </w:rPr>
      <w:tblPr/>
      <w:tcPr>
        <w:shd w:val="clear" w:color="auto" w:fill="31849B" w:themeFill="accent5" w:themeFillShade="BF"/>
      </w:tcPr>
    </w:tblStylePr>
    <w:tblStylePr w:type="lastCol">
      <w:rPr>
        <w:color w:val="2424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2424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242424"/>
      </w:rPr>
      <w:tblPr/>
      <w:tcPr>
        <w:shd w:val="clear" w:color="auto" w:fill="FBD4B4" w:themeFill="accent6" w:themeFillTint="66"/>
      </w:tcPr>
    </w:tblStylePr>
    <w:tblStylePr w:type="firstCol">
      <w:rPr>
        <w:color w:val="242424"/>
      </w:rPr>
      <w:tblPr/>
      <w:tcPr>
        <w:shd w:val="clear" w:color="auto" w:fill="E36C0A" w:themeFill="accent6" w:themeFillShade="BF"/>
      </w:tcPr>
    </w:tblStylePr>
    <w:tblStylePr w:type="lastCol">
      <w:rPr>
        <w:color w:val="2424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2.jpg"/><Relationship Id="rId16" Type="http://schemas.openxmlformats.org/officeDocument/2006/relationships/hyperlink" Target="https://www.singstat.gov.sg/find-data/explore-data-themes/population/population-and-population-structure/latest-news-data" TargetMode="External"/><Relationship Id="rId17" Type="http://schemas.openxmlformats.org/officeDocument/2006/relationships/hyperlink" Target="https://www.singstat.gov.sg/publication-resources/population-trends-2026" TargetMode="External"/><Relationship Id="rId18" Type="http://schemas.openxmlformats.org/officeDocument/2006/relationships/hyperlink" Target="https://databank.worldbank.org/reports.aspx?country=SGP&amp;series=NY.GDP.PCAP.PP.CD&amp;source=2" TargetMode="External"/><Relationship Id="rId19" Type="http://schemas.openxmlformats.org/officeDocument/2006/relationships/hyperlink" Target="https://www.singstat.gov.sg/find-data/explore-data-themes/economy-prices/national-accounts/latest-news-data" TargetMode="External"/><Relationship Id="rId20" Type="http://schemas.openxmlformats.org/officeDocument/2006/relationships/hyperlink" Target="https://databank.worldbank.org/reports.aspx?country=SGP&amp;series=SH.XPD.CHEX.PC.CD&amp;source=2" TargetMode="External"/><Relationship Id="rId21" Type="http://schemas.openxmlformats.org/officeDocument/2006/relationships/hyperlink" Target="https://www.moh.gov.sg/others/resources-and-statistics/health-manpower/" TargetMode="External"/><Relationship Id="rId22" Type="http://schemas.openxmlformats.org/officeDocument/2006/relationships/hyperlink" Target="https://www.moh.gov.sg/others/resources-and-statistics/beds-in-inpatient-facilities-and-places-in-non-residential-long-term-care-facilities/" TargetMode="External"/><Relationship Id="rId23" Type="http://schemas.openxmlformats.org/officeDocument/2006/relationships/hyperlink" Target="https://www.mfa.gov.sg/about-singapore/" TargetMode="External"/><Relationship Id="rId24" Type="http://schemas.openxmlformats.org/officeDocument/2006/relationships/hyperlink" Target="https://www.pmo.gov.sg/about-us/the-cabinet/mr-lawrence-wong/" TargetMode="External"/><Relationship Id="rId25" Type="http://schemas.openxmlformats.org/officeDocument/2006/relationships/hyperlink" Target="https://www.istana.gov.sg/the-president/president-tharman-shanmugaratnam/" TargetMode="External"/><Relationship Id="rId26" Type="http://schemas.openxmlformats.org/officeDocument/2006/relationships/hyperlink" Target="https://sso.agc.gov.sg/Act/CONS1963?ProvIds=pr153A-" TargetMode="External"/><Relationship Id="rId27" Type="http://schemas.openxmlformats.org/officeDocument/2006/relationships/hyperlink" Target="https://www.mti.gov.sg/newsroom/speech-by-minister-of-state-for-trade-and-industry-alvin-tan-at-ministry-of-trade-and-industry--mti--s-committee-of-supply-debate-2023/" TargetMode="External"/><Relationship Id="rId28" Type="http://schemas.openxmlformats.org/officeDocument/2006/relationships/hyperlink" Target="https://www.meti.gov.sg/newsroom/mti-upgrades-2026-gdp-growth-forecast-to--4-5-to-5-5-per-cent-/" TargetMode="External"/><Relationship Id="rId29" Type="http://schemas.openxmlformats.org/officeDocument/2006/relationships/hyperlink" Target="https://www.moh.gov.sg/others/resources-and-statistics/principal-causes-of-death/" TargetMode="External"/><Relationship Id="rId30" Type="http://schemas.openxmlformats.org/officeDocument/2006/relationships/hyperlink" Target="https://www.moh.gov.sg/staying-healthy/healthy-living/" TargetMode="External"/><Relationship Id="rId31" Type="http://schemas.openxmlformats.org/officeDocument/2006/relationships/hyperlink" Target="https://www.moh.gov.sg/ageing-well/ageing-in-the-community/" TargetMode="External"/><Relationship Id="rId32" Type="http://schemas.openxmlformats.org/officeDocument/2006/relationships/hyperlink" Target="https://www.moh.gov.sg/about-us/our-partners/" TargetMode="External"/><Relationship Id="rId33" Type="http://schemas.openxmlformats.org/officeDocument/2006/relationships/hyperlink" Target="https://www.moh.gov.sg/newsroom/enhancing-quality-and-coordination-of-care/" TargetMode="External"/><Relationship Id="rId34" Type="http://schemas.openxmlformats.org/officeDocument/2006/relationships/hyperlink" Target="https://medschool.duke.edu/education/international-experiences/office-duke-nus-affairs/about-partnership" TargetMode="External"/><Relationship Id="rId35" Type="http://schemas.openxmlformats.org/officeDocument/2006/relationships/hyperlink" Target="https://www.singhealth.com.sg/news/announcements/nhcs-and-mayo-clinic-to-advance-cardiovascular-care-and-research" TargetMode="External"/><Relationship Id="rId36" Type="http://schemas.openxmlformats.org/officeDocument/2006/relationships/hyperlink" Target="https://www.moh.gov.sg/managing-expenses/keeping-healthcare-affordable/managing-medical-bills/" TargetMode="External"/><Relationship Id="rId37" Type="http://schemas.openxmlformats.org/officeDocument/2006/relationships/hyperlink" Target="https://www.moh.gov.sg/managing-expenses/schemes-and-subsidies/medishield-life/medishield-life-scheme-act/" TargetMode="External"/><Relationship Id="rId38" Type="http://schemas.openxmlformats.org/officeDocument/2006/relationships/hyperlink" Target="https://www.oecd.org/en/publications/health-at-a-glance-2025_8f9e3f98-en/full-report/indicator-overview-country-dashboards-and-major-trends_368ac397.html" TargetMode="External"/><Relationship Id="rId39" Type="http://schemas.openxmlformats.org/officeDocument/2006/relationships/image" Target="media/image3.png"/><Relationship Id="rId40" Type="http://schemas.openxmlformats.org/officeDocument/2006/relationships/image" Target="media/image4.png"/><Relationship Id="rId41" Type="http://schemas.openxmlformats.org/officeDocument/2006/relationships/hyperlink" Target="https://data.gov.sg/datasets/d_5257cff1ee5e6a16db6a9606a983efa4/view" TargetMode="External"/><Relationship Id="rId42" Type="http://schemas.openxmlformats.org/officeDocument/2006/relationships/hyperlink" Target="https://www.moh.gov.sg/others/resources-and-statistics/health-facilities/" TargetMode="External"/><Relationship Id="rId43" Type="http://schemas.openxmlformats.org/officeDocument/2006/relationships/hyperlink" Target="https://www.rafflesmedicalgroup.com/services/hospital/international-patients/international-patient-services/" TargetMode="External"/><Relationship Id="rId44" Type="http://schemas.openxmlformats.org/officeDocument/2006/relationships/image" Target="media/image5.png"/><Relationship Id="rId45" Type="http://schemas.openxmlformats.org/officeDocument/2006/relationships/image" Target="media/image6.png"/><Relationship Id="rId46" Type="http://schemas.openxmlformats.org/officeDocument/2006/relationships/hyperlink" Target="https://isomer-user-content.by.gov.sg/3/4cad4e62-8093-48de-b0d1-af8e012d4d95/NPHS%202024%20Survey%20Report_Final.pdf" TargetMode="External"/><Relationship Id="rId47" Type="http://schemas.openxmlformats.org/officeDocument/2006/relationships/hyperlink" Target="https://www.moh.gov.sg/newsroom/current-healthcare-workforce-strength-compared-against-projected-service-demand/" TargetMode="External"/><Relationship Id="rId48" Type="http://schemas.openxmlformats.org/officeDocument/2006/relationships/hyperlink" Target="https://www.healthinfo.gov.sg/hia/" TargetMode="External"/><Relationship Id="rId49" Type="http://schemas.openxmlformats.org/officeDocument/2006/relationships/hyperlink" Target="https://isomer-user-content.by.gov.sg/3/6d240639-e156-403e-bb26-1bdddfe0af6f/NPHS%202025%20Survey%20Report_Final.pdf" TargetMode="External"/><Relationship Id="rId50" Type="http://schemas.openxmlformats.org/officeDocument/2006/relationships/hyperlink" Target="https://www.moh.gov.sg/newsroom/health-sciences-authority--amendment--and-other-matters-bill-to-consolidate-health-regulatory-functions/" TargetMode="External"/><Relationship Id="rId51" Type="http://schemas.openxmlformats.org/officeDocument/2006/relationships/hyperlink" Target="https://www.moh.gov.sg/newsroom/speech-by-mr-tan-kiat-how--senior-minister-of-state--ministry-of-digital-development-and-information---ministry-of-health--at-healthtechx-asia--6-may-2026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C1E3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DC1E34"/>
      </a:hlink>
      <a:folHlink>
        <a:srgbClr val="DC1E34"/>
      </a:folHlink>
    </a:clrScheme>
    <a:fontScheme name="Office">
      <a:majorFont>
        <a:latin typeface="Arial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Singapore Executive summary</dc:title>
  <dc:subject/>
  <dc:creator>Cedars-Sinai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