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C1E34"/>
          <w:sz w:val="52"/>
        </w:rPr>
        <w:t>Vietnam: Sources</w:t>
      </w:r>
    </w:p>
    <w:p>
      <w:r>
        <w:rPr>
          <w:i/>
          <w:color w:val="6E6E6E"/>
          <w:sz w:val="20"/>
        </w:rPr>
        <w:t>Numbered to match the superscript citations in the Vietnam country profile (draft prepared 2026-09-24). Web sources were accessed in September 2026.</w:t>
      </w:r>
    </w:p>
    <w:p>
      <w:pPr>
        <w:spacing w:before="0" w:after="80"/>
        <w:pBdr>
          <w:bottom w:val="single" w:sz="12" w:space="1" w:color="DC1E34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1.</w:t>
        <w:tab/>
      </w:r>
      <w:r>
        <w:t>World Bank, Vietnam population data (data.worldbank.org).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2.</w:t>
        <w:tab/>
      </w:r>
      <w:r>
        <w:t>UN Population Division, World Population Prospects.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3.</w:t>
        <w:tab/>
      </w:r>
      <w:r>
        <w:t>Vietnam General Statistics Office.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4.</w:t>
        <w:tab/>
      </w:r>
      <w:r>
        <w:t>CIA World Factbook, Vietnam economy section (2024 GDP data).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5.</w:t>
        <w:tab/>
      </w:r>
      <w:r>
        <w:t>Vietnam National Assembly official records.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6.</w:t>
        <w:tab/>
      </w:r>
      <w:r>
        <w:t>Reuters and AP reporting on Vietnam's 2025 administrative merger and 2026 National Assembly elections.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7.</w:t>
        <w:tab/>
      </w:r>
      <w:r>
        <w:t>CIA World Factbook, Vietnam government section.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8.</w:t>
        <w:tab/>
      </w:r>
      <w:r>
        <w:t>IMF World Economic Outlook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9.</w:t>
        <w:tab/>
      </w:r>
      <w:r>
        <w:t>World Bank Vietnam Economic Update.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10.</w:t>
        <w:tab/>
      </w:r>
      <w:r>
        <w:t>WHO Vietnam country profile and noncommunicable disease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11.</w:t>
        <w:tab/>
      </w:r>
      <w:r>
        <w:t>Global Burden of Disease (IHME) Vietnam data.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12.</w:t>
        <w:tab/>
      </w:r>
      <w:r>
        <w:t>Vietnam Ministry of Health annual health statistics.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13.</w:t>
        <w:tab/>
      </w:r>
      <w:r>
        <w:t>Vietnam Ministry of Health public health system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14.</w:t>
        <w:tab/>
      </w:r>
      <w:r>
        <w:t>Vietnam Social Security (health insurance coverage statistics).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15.</w:t>
        <w:tab/>
      </w:r>
      <w:r>
        <w:t>World Health Organization, Vietnam health system review.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16.</w:t>
        <w:tab/>
      </w:r>
      <w:r>
        <w:t>Thomson Medical Group investor disclosures and closing announcement (2023 to 2024).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17.</w:t>
        <w:tab/>
      </w:r>
      <w:r>
        <w:t>Vietnam healthcare market reports (Fitch Solutions, BMI Research, Asia Counsel).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18.</w:t>
        <w:tab/>
      </w:r>
      <w:r>
        <w:t>Company reporting from Vinmec, Hoan My, and FV Hospital.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19.</w:t>
        <w:tab/>
      </w:r>
      <w:r>
        <w:t>World Bank, Current health expenditure (% of GDP) - Vietnam.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20.</w:t>
        <w:tab/>
      </w:r>
      <w:r>
        <w:t>WHO Global Health Expenditure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21.</w:t>
        <w:tab/>
      </w:r>
      <w:r>
        <w:t>Vietnam Ministry of Health financing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22.</w:t>
        <w:tab/>
      </w:r>
      <w:r>
        <w:t>WHO Global Health Observatory, health workforce indicators.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23.</w:t>
        <w:tab/>
      </w:r>
      <w:r>
        <w:t>Vietnam Ministry of Health workforce planning documents.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24.</w:t>
        <w:tab/>
      </w:r>
      <w:r>
        <w:t>World Bank Vietnam health sector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25.</w:t>
        <w:tab/>
      </w:r>
      <w:r>
        <w:t>Hanoi Medical University and Ho Chi Minh City University of Medicine and Pharmacy institutional reports.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26.</w:t>
        <w:tab/>
      </w:r>
      <w:r>
        <w:t>Vietnam Ministry of Health and Ministry of Education and Training, medical education policy documents.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27.</w:t>
        <w:tab/>
      </w:r>
      <w:r>
        <w:t>Vietnam Ministry of Health and Communist Party of Vietnam policy statements on the 2026-2030 and 2030-2035 healthcare roadmap.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28.</w:t>
        <w:tab/>
      </w:r>
      <w:r>
        <w:t>P4H Network, coverage of Vietnam's free healthcare roadmap and 2045 vision.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29.</w:t>
        <w:tab/>
      </w:r>
      <w:r>
        <w:t>Vietnamese state and international press reporting (Vietnam News, VietNamNet, SGGP, VOV) on the free checkup and free hospital care plans.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30.</w:t>
        <w:tab/>
      </w:r>
      <w:r>
        <w:t>Cleveland Clinic Newsroom (May 2024, April 2025).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31.</w:t>
        <w:tab/>
      </w:r>
      <w:r>
        <w:t>Mayo Clinic Alumni Association.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32.</w:t>
        <w:tab/>
      </w:r>
      <w:r>
        <w:t>Vietnam healthcare market and M&amp;A reporting (Fitch Solutions, BMI Research, Asia Counsel).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33.</w:t>
        <w:tab/>
      </w:r>
      <w:r>
        <w:t>Trade.gov Vietnam Healthcare Country Commercial Guide.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34.</w:t>
        <w:tab/>
      </w:r>
      <w:r>
        <w:t>Vietnam Ministry of Health policy announcements.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35.</w:t>
        <w:tab/>
      </w:r>
      <w:r>
        <w:t>VietNamNet, VOV reporting.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36.</w:t>
        <w:tab/>
      </w:r>
      <w:r>
        <w:t>Reuters and AP reporting on Vietnam's 2025 administrative restructuring.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37.</w:t>
        <w:tab/>
      </w:r>
      <w:r>
        <w:t>Cleveland Clinic Newsroom.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38.</w:t>
        <w:tab/>
      </w:r>
      <w:r>
        <w:t>Thomson Medical Group closing announcement and investor disclosures.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247" w:bottom="1020" w:left="1247" w:header="10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6777A"/>
        <w:sz w:val="15"/>
      </w:rPr>
      <w:t xml:space="preserve">Cedars-Sinai International   </w:t>
    </w:r>
    <w:r>
      <w:rPr>
        <w:rFonts w:ascii="Arial" w:hAnsi="Arial"/>
        <w:color w:val="76777A"/>
        <w:sz w:val="15"/>
      </w:rPr>
      <w:fldChar w:fldCharType="begin"/>
    </w:r>
    <w:r>
      <w:rPr>
        <w:rFonts w:ascii="Arial" w:hAnsi="Arial"/>
        <w:color w:val="76777A"/>
        <w:sz w:val="15"/>
      </w:rPr>
      <w:instrText xml:space="preserve"> PAGE </w:instrText>
    </w:r>
    <w:r>
      <w:rPr>
        <w:rFonts w:ascii="Arial" w:hAnsi="Arial"/>
        <w:color w:val="76777A"/>
        <w:sz w:val="15"/>
      </w:rPr>
      <w:fldChar w:fldCharType="separate"/>
    </w:r>
    <w:r>
      <w:rPr>
        <w:rFonts w:ascii="Arial" w:hAnsi="Arial"/>
        <w:color w:val="76777A"/>
        <w:sz w:val="15"/>
      </w:rPr>
      <w:t/>
    </w:r>
    <w:r>
      <w:rPr>
        <w:rFonts w:ascii="Arial" w:hAnsi="Arial"/>
        <w:color w:val="76777A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Vietnam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Vietnam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VIETNAM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VIETNAM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VIETNAM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 w:cs="Arial" w:eastAsia="Arial"/>
      <w:color w:val="2828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cstheme="majorBidi" w:ascii="Arial" w:hAnsi="Arial" w:cs="Arial" w:eastAsia="Arial"/>
      <w:b/>
      <w:bCs/>
      <w:color w:val="DC1E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Arial" w:hAnsi="Arial" w:cs="Arial" w:eastAsia="Arial"/>
      <w:b/>
      <w:bCs/>
      <w:color w:val="DC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DC1E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DC1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DC1E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DC1E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DC1E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DC1E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DC1E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DC1E3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DC1E3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DC1E3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DC1E3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DC1E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DC1E3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DC1E3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