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0"/>
      </w:pPr>
      <w:r>
        <w:rPr>
          <w:b/>
          <w:color w:val="CC0000"/>
          <w:sz w:val="40"/>
        </w:rPr>
        <w:t xml:space="preserve">Country Summary: </w:t>
      </w:r>
      <w:r>
        <w:rPr>
          <w:b w:val="0"/>
          <w:color w:val="CC0000"/>
          <w:sz w:val="40"/>
        </w:rPr>
        <w:t>Spain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6188710" cy="3481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80"/>
        <w:jc w:val="right"/>
      </w:pPr>
      <w:r>
        <w:rPr>
          <w:color w:val="6E6E6E"/>
          <w:sz w:val="14"/>
        </w:rPr>
        <w:t>Photo: Diego Delso, CC BY-SA 4.0, via Wikimedia Commons</w:t>
      </w:r>
    </w:p>
    <w:p>
      <w:pPr>
        <w:widowControl/>
        <w:spacing w:before="360"/>
      </w:pPr>
      <w:r>
        <w:rPr>
          <w:i/>
          <w:color w:val="6E6E6E"/>
          <w:sz w:val="20"/>
        </w:rPr>
        <w:t>Executive summary of the Spain country profile (2026-10-30). Superscript numbers refer to the numbered sources in Spain_Profile_DRAFT_SOURCES.docx.</w:t>
      </w:r>
    </w:p>
    <w:p>
      <w:pPr>
        <w:widowControl/>
      </w:pPr>
      <w:r>
        <w:br w:type="page"/>
      </w:r>
    </w:p>
    <w:p>
      <w:pPr>
        <w:pStyle w:val="Heading1"/>
        <w:keepNext/>
        <w:widowControl/>
        <w:spacing w:before="280" w:after="80"/>
      </w:pPr>
      <w:r>
        <w:t>At a Glance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tbl>
      <w:tblPr>
        <w:tblW w:type="auto" w:w="0"/>
        <w:jc w:val="center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18" w:color="FFFFFF"/>
          <w:insideV w:val="single" w:sz="18" w:color="FFFFFF"/>
        </w:tblBorders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49.8 m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Population, 1 July 2026, provisional</w:t>
            </w:r>
            <w:hyperlink r:id="rId11">
              <w:r>
                <w:rPr>
                  <w:color w:val="B31822"/>
                  <w:vertAlign w:val="superscript"/>
                </w:rPr>
                <w:t xml:space="preserve">3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59,870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GDP per capita, PPP (international dollars), about, 2025</w:t>
            </w:r>
            <w:hyperlink r:id="rId12">
              <w:r>
                <w:rPr>
                  <w:color w:val="B31822"/>
                  <w:vertAlign w:val="superscript"/>
                </w:rPr>
                <w:t xml:space="preserve">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9.22%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Current health expenditure, share of GDP, 2023</w:t>
            </w:r>
            <w:hyperlink r:id="rId13">
              <w:r>
                <w:rPr>
                  <w:color w:val="B31822"/>
                  <w:vertAlign w:val="superscript"/>
                </w:rPr>
                <w:t xml:space="preserve">25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keepNext/>
              <w:spacing w:before="120" w:after="0"/>
            </w:pPr>
            <w:r>
              <w:rPr>
                <w:b/>
                <w:color w:val="0B0B0B"/>
                <w:sz w:val="36"/>
              </w:rPr>
              <w:t>20.9%</w:t>
            </w:r>
          </w:p>
          <w:p>
            <w:pPr>
              <w:keepNext/>
              <w:spacing w:after="120"/>
            </w:pPr>
            <w:r>
              <w:rPr>
                <w:color w:val="52514E"/>
                <w:sz w:val="17"/>
              </w:rPr>
              <w:t>Out-of-pocket share of current health expenditure, 2023</w:t>
            </w:r>
            <w:hyperlink r:id="rId14">
              <w:r>
                <w:rPr>
                  <w:color w:val="B31822"/>
                  <w:vertAlign w:val="superscript"/>
                </w:rPr>
                <w:t xml:space="preserve">27</w:t>
              </w:r>
            </w:hyperlink>
          </w:p>
        </w:tc>
      </w:tr>
      <w:tr>
        <w:trPr>
          <w:cantSplit/>
        </w:trPr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4.4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Physicians per 1,000 people, 2023</w:t>
            </w:r>
            <w:hyperlink r:id="rId15">
              <w:r>
                <w:rPr>
                  <w:color w:val="B31822"/>
                  <w:vertAlign w:val="superscript"/>
                </w:rPr>
                <w:t xml:space="preserve">12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83.9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Life expectancy at birth, years, 2024</w:t>
            </w:r>
            <w:hyperlink r:id="rId16">
              <w:r>
                <w:rPr>
                  <w:color w:val="B31822"/>
                  <w:vertAlign w:val="superscript"/>
                </w:rPr>
                <w:t xml:space="preserve">11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21.6%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Population aged 65 and over, 2025</w:t>
            </w:r>
            <w:hyperlink r:id="rId17">
              <w:r>
                <w:rPr>
                  <w:color w:val="B31822"/>
                  <w:vertAlign w:val="superscript"/>
                </w:rPr>
                <w:t xml:space="preserve">9</w:t>
              </w:r>
            </w:hyperlink>
          </w:p>
        </w:tc>
        <w:tc>
          <w:tcPr>
            <w:tcW w:type="dxa" w:w="2436"/>
            <w:shd w:val="clear" w:color="auto" w:fill="F7F5F2"/>
          </w:tcPr>
          <w:p>
            <w:pPr>
              <w:spacing w:before="120" w:after="0"/>
            </w:pPr>
            <w:r>
              <w:rPr>
                <w:b/>
                <w:color w:val="0B0B0B"/>
                <w:sz w:val="36"/>
              </w:rPr>
              <w:t>US$3,107</w:t>
            </w:r>
          </w:p>
          <w:p>
            <w:pPr>
              <w:spacing w:after="120"/>
            </w:pPr>
            <w:r>
              <w:rPr>
                <w:color w:val="52514E"/>
                <w:sz w:val="17"/>
              </w:rPr>
              <w:t>Current health expenditure per capita, 2023, current US$</w:t>
            </w:r>
            <w:hyperlink r:id="rId18">
              <w:r>
                <w:rPr>
                  <w:color w:val="B31822"/>
                  <w:vertAlign w:val="superscript"/>
                </w:rPr>
                <w:t xml:space="preserve">26</w:t>
              </w:r>
            </w:hyperlink>
          </w:p>
        </w:tc>
      </w:tr>
    </w:tbl>
    <w:p>
      <w:pPr>
        <w:keepNext/>
        <w:widowControl/>
        <w:spacing w:before="160" w:after="60"/>
      </w:pPr>
      <w:r>
        <w:rPr>
          <w:b/>
          <w:color w:val="B31822"/>
          <w:sz w:val="24"/>
        </w:rPr>
        <w:t>Country background</w:t>
      </w:r>
    </w:p>
    <w:p>
      <w:pPr>
        <w:widowControl/>
      </w:pPr>
      <w:r>
        <w:rPr>
          <w:sz w:val="21"/>
        </w:rPr>
        <w:t>Spain, a parliamentary monarchy with its capital in Madrid, had about 49.8 million residents on 1 July 2026 (provisional).</w:t>
      </w:r>
      <w:hyperlink r:id="rId19">
        <w:r>
          <w:rPr>
            <w:color w:val="B31822"/>
            <w:vertAlign w:val="superscript"/>
          </w:rPr>
          <w:t xml:space="preserve">2,</w:t>
        </w:r>
      </w:hyperlink>
      <w:hyperlink r:id="rId11">
        <w:r>
          <w:rPr>
            <w:color w:val="B31822"/>
            <w:vertAlign w:val="superscript"/>
          </w:rPr>
          <w:t xml:space="preserve">3</w:t>
        </w:r>
      </w:hyperlink>
      <w:r>
        <w:rPr>
          <w:sz w:val="21"/>
        </w:rPr>
        <w:t xml:space="preserve"> King Felipe VI is head of state, and Prime Minister Pedro Sánchez has led a minority government.</w:t>
      </w:r>
      <w:hyperlink r:id="rId19">
        <w:r>
          <w:rPr>
            <w:color w:val="B31822"/>
            <w:vertAlign w:val="superscript"/>
          </w:rPr>
          <w:t xml:space="preserve">2,</w:t>
        </w:r>
      </w:hyperlink>
      <w:hyperlink r:id="rId20">
        <w:r>
          <w:rPr>
            <w:color w:val="B31822"/>
            <w:vertAlign w:val="superscript"/>
          </w:rPr>
          <w:t xml:space="preserve">13</w:t>
        </w:r>
      </w:hyperlink>
      <w:r>
        <w:rPr>
          <w:sz w:val="21"/>
        </w:rPr>
        <w:t xml:space="preserve"> Mónica García is Minister of Health.</w:t>
      </w:r>
      <w:hyperlink r:id="rId21">
        <w:r>
          <w:rPr>
            <w:color w:val="B31822"/>
            <w:vertAlign w:val="superscript"/>
          </w:rPr>
          <w:t xml:space="preserve">7</w:t>
        </w:r>
      </w:hyperlink>
      <w:r>
        <w:rPr>
          <w:sz w:val="21"/>
        </w:rPr>
        <w:t xml:space="preserve"> The economy grew 2.6 percent year on year in the second quarter of 2026, and GDP per person was about 59,870 international dollars (PPP) in 2025.</w:t>
      </w:r>
      <w:hyperlink r:id="rId12">
        <w:r>
          <w:rPr>
            <w:color w:val="B31822"/>
            <w:vertAlign w:val="superscript"/>
          </w:rPr>
          <w:t xml:space="preserve">5,</w:t>
        </w:r>
      </w:hyperlink>
      <w:hyperlink r:id="rId22">
        <w:r>
          <w:rPr>
            <w:color w:val="B31822"/>
            <w:vertAlign w:val="superscript"/>
          </w:rPr>
          <w:t xml:space="preserve">17</w:t>
        </w:r>
      </w:hyperlink>
      <w:r>
        <w:rPr>
          <w:sz w:val="21"/>
        </w:rPr>
        <w:t xml:space="preserve"> The population is aging: 21.6 percent were 65 or older in 2025, and life expectancy was 83.9 years in 2024.</w:t>
      </w:r>
      <w:hyperlink r:id="rId17">
        <w:r>
          <w:rPr>
            <w:color w:val="B31822"/>
            <w:vertAlign w:val="superscript"/>
          </w:rPr>
          <w:t xml:space="preserve">9,</w:t>
        </w:r>
      </w:hyperlink>
      <w:hyperlink r:id="rId16">
        <w:r>
          <w:rPr>
            <w:color w:val="B31822"/>
            <w:vertAlign w:val="superscript"/>
          </w:rPr>
          <w:t xml:space="preserve">11</w:t>
        </w:r>
      </w:hyperlink>
      <w:r>
        <w:rPr>
          <w:sz w:val="21"/>
        </w:rPr>
        <w:t xml:space="preserve"> The key risk is political: a snap general election is set for 29 November 2026, and policy is on hold until a new government forms.</w:t>
      </w:r>
      <w:hyperlink r:id="rId23">
        <w:r>
          <w:rPr>
            <w:color w:val="B31822"/>
            <w:vertAlign w:val="superscript"/>
          </w:rPr>
          <w:t xml:space="preserve">14,</w:t>
        </w:r>
      </w:hyperlink>
      <w:hyperlink r:id="rId24">
        <w:r>
          <w:rPr>
            <w:color w:val="B31822"/>
            <w:vertAlign w:val="superscript"/>
          </w:rPr>
          <w:t xml:space="preserve">38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Key takeaways for CSI</w:t>
      </w:r>
    </w:p>
    <w:p>
      <w:pPr>
        <w:pStyle w:val="ListBullet"/>
        <w:widowControl/>
        <w:spacing w:after="60"/>
      </w:pPr>
      <w:r>
        <w:rPr>
          <w:sz w:val="21"/>
        </w:rPr>
        <w:t>Health spending was 9.22 percent of GDP in 2023, unchanged from 2012, and 20.9 percent was out of pocket.</w:t>
      </w:r>
      <w:hyperlink r:id="rId13">
        <w:r>
          <w:rPr>
            <w:color w:val="B31822"/>
            <w:vertAlign w:val="superscript"/>
          </w:rPr>
          <w:t xml:space="preserve">25,</w:t>
        </w:r>
      </w:hyperlink>
      <w:hyperlink r:id="rId14">
        <w:r>
          <w:rPr>
            <w:color w:val="B31822"/>
            <w:vertAlign w:val="superscript"/>
          </w:rPr>
          <w:t xml:space="preserve">27</w:t>
        </w:r>
      </w:hyperlink>
    </w:p>
    <w:p>
      <w:pPr>
        <w:pStyle w:val="ListBullet"/>
        <w:widowControl/>
        <w:spacing w:after="60"/>
      </w:pPr>
      <w:r>
        <w:rPr>
          <w:sz w:val="21"/>
        </w:rPr>
        <w:t>At 31 December 2025, 853,740 patients were waiting for elective surgery, with an average wait of 122 days.</w:t>
      </w:r>
      <w:hyperlink r:id="rId25">
        <w:r>
          <w:rPr>
            <w:color w:val="B31822"/>
            <w:vertAlign w:val="superscript"/>
          </w:rPr>
          <w:t xml:space="preserve">20</w:t>
        </w:r>
      </w:hyperlink>
    </w:p>
    <w:p>
      <w:pPr>
        <w:pStyle w:val="ListBullet"/>
        <w:widowControl/>
        <w:spacing w:after="60"/>
      </w:pPr>
      <w:r>
        <w:rPr>
          <w:sz w:val="21"/>
        </w:rPr>
        <w:t>Spain had 4.4 physicians per 1,000 people in 2023, but 43 percent were aged 55 and over in 2022.</w:t>
      </w:r>
      <w:hyperlink r:id="rId15">
        <w:r>
          <w:rPr>
            <w:color w:val="B31822"/>
            <w:vertAlign w:val="superscript"/>
          </w:rPr>
          <w:t xml:space="preserve">12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share aged 65 and over is projected to rise from 20 percent in 2024 to 33 percent by 2050.</w:t>
      </w:r>
      <w:hyperlink r:id="rId15">
        <w:r>
          <w:rPr>
            <w:color w:val="B31822"/>
            <w:vertAlign w:val="superscript"/>
          </w:rPr>
          <w:t xml:space="preserve">12</w:t>
        </w:r>
      </w:hyperlink>
    </w:p>
    <w:p>
      <w:pPr>
        <w:pStyle w:val="Heading1"/>
        <w:keepNext/>
        <w:widowControl/>
        <w:spacing w:before="280" w:after="80"/>
      </w:pPr>
      <w:r>
        <w:t>Health System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The tax-funded National Health System covers all residents, and regions made up 93.6 percent of public health spending in 2024.</w:t>
      </w:r>
      <w:hyperlink r:id="rId15">
        <w:r>
          <w:rPr>
            <w:color w:val="B31822"/>
            <w:vertAlign w:val="superscript"/>
          </w:rPr>
          <w:t xml:space="preserve">12,</w:t>
        </w:r>
      </w:hyperlink>
      <w:hyperlink r:id="rId26">
        <w:r>
          <w:rPr>
            <w:color w:val="B31822"/>
            <w:vertAlign w:val="superscript"/>
          </w:rPr>
          <w:t xml:space="preserve">16</w:t>
        </w:r>
      </w:hyperlink>
    </w:p>
    <w:p>
      <w:pPr>
        <w:pStyle w:val="ListBullet"/>
        <w:widowControl/>
        <w:spacing w:after="60"/>
      </w:pPr>
      <w:r>
        <w:rPr>
          <w:sz w:val="21"/>
        </w:rPr>
        <w:t>Unmet needs for medical care were 2.6 percent in 2024, below the EU average of 3.6 percent.</w:t>
      </w:r>
      <w:hyperlink r:id="rId15">
        <w:r>
          <w:rPr>
            <w:color w:val="B31822"/>
            <w:vertAlign w:val="superscript"/>
          </w:rPr>
          <w:t xml:space="preserve">12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average wait for a first hospital specialist consultation was 102 days at 31 December 2025.</w:t>
      </w:r>
      <w:hyperlink r:id="rId25">
        <w:r>
          <w:rPr>
            <w:color w:val="B31822"/>
            <w:vertAlign w:val="superscript"/>
          </w:rPr>
          <w:t xml:space="preserve">20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Spain: health spending and out-of-pocket share,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331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Current health expenditure as a share of GDP, and out-of-pocket spending as a share of current health expenditure; 2023 is the latest year in the series. Sources: </w:t>
      </w:r>
      <w:hyperlink r:id="rId13">
        <w:r>
          <w:rPr>
            <w:color w:val="B31822"/>
            <w:vertAlign w:val="superscript"/>
          </w:rPr>
          <w:t xml:space="preserve">25,</w:t>
        </w:r>
      </w:hyperlink>
      <w:hyperlink r:id="rId14">
        <w:r>
          <w:rPr>
            <w:color w:val="B31822"/>
            <w:vertAlign w:val="superscript"/>
          </w:rPr>
          <w:t xml:space="preserve">27</w:t>
        </w:r>
      </w:hyperlink>
    </w:p>
    <w:p>
      <w:pPr>
        <w:keepNext/>
        <w:widowControl/>
        <w:spacing w:before="160" w:after="40"/>
      </w:pPr>
      <w:r>
        <w:rPr>
          <w:b/>
          <w:sz w:val="21"/>
        </w:rPr>
        <w:t>Physicians per 1,000 people, Spain and comparators (latest year available)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580000" cy="40779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or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77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Latest year available for each country in the World Bank series, shown in brackets; comparison years differ (2022 and 2023). Portugal's figure counts all doctors licensed to practise, which overstates practising doctors. Sources: </w:t>
      </w:r>
      <w:hyperlink r:id="rId15">
        <w:r>
          <w:rPr>
            <w:color w:val="B31822"/>
            <w:vertAlign w:val="superscript"/>
          </w:rPr>
          <w:t xml:space="preserve">12,</w:t>
        </w:r>
      </w:hyperlink>
      <w:hyperlink r:id="rId29">
        <w:r>
          <w:rPr>
            <w:color w:val="B31822"/>
            <w:vertAlign w:val="superscript"/>
          </w:rPr>
          <w:t xml:space="preserve">34</w:t>
        </w:r>
      </w:hyperlink>
    </w:p>
    <w:p>
      <w:pPr>
        <w:pStyle w:val="Heading1"/>
        <w:keepNext/>
        <w:widowControl/>
        <w:spacing w:before="280" w:after="80"/>
      </w:pPr>
      <w:r>
        <w:t>Market and Competition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pStyle w:val="ListBullet"/>
        <w:widowControl/>
        <w:spacing w:after="60"/>
      </w:pPr>
      <w:r>
        <w:rPr>
          <w:sz w:val="21"/>
        </w:rPr>
        <w:t>In 2025, 440 hospitals were private (57 percent of the total), and health insurers covered 12.8 million people.</w:t>
      </w:r>
      <w:hyperlink r:id="rId30">
        <w:r>
          <w:rPr>
            <w:color w:val="B31822"/>
            <w:vertAlign w:val="superscript"/>
          </w:rPr>
          <w:t xml:space="preserve">21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Foreign groups are well established: Fresenius owns Quirónsalud, Bupa owns Sanitas, and Hospiten runs MD Anderson Cancer Center Madrid.</w:t>
      </w:r>
      <w:hyperlink r:id="rId31">
        <w:r>
          <w:rPr>
            <w:color w:val="B31822"/>
            <w:vertAlign w:val="superscript"/>
          </w:rPr>
          <w:t xml:space="preserve">23,</w:t>
        </w:r>
      </w:hyperlink>
      <w:hyperlink r:id="rId32">
        <w:r>
          <w:rPr>
            <w:color w:val="B31822"/>
            <w:vertAlign w:val="superscript"/>
          </w:rPr>
          <w:t xml:space="preserve">24,</w:t>
        </w:r>
      </w:hyperlink>
      <w:hyperlink r:id="rId33">
        <w:r>
          <w:rPr>
            <w:color w:val="B31822"/>
            <w:vertAlign w:val="superscript"/>
          </w:rPr>
          <w:t xml:space="preserve">41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tracker lists 20 active foreign partnerships in Spain, in Barcelona (ten), Madrid (nine) and Valencia (one).</w:t>
      </w:r>
    </w:p>
    <w:p>
      <w:pPr>
        <w:keepNext/>
        <w:widowControl/>
        <w:spacing w:before="160" w:after="40"/>
      </w:pPr>
      <w:r>
        <w:rPr>
          <w:b/>
          <w:sz w:val="21"/>
        </w:rPr>
        <w:t>Spain: hospital beds per 1,000 people, 2012 to 2023</w:t>
      </w:r>
    </w:p>
    <w:p>
      <w:pPr>
        <w:keepNext/>
        <w:widowControl/>
      </w:pPr>
      <w:r>
        <w:drawing>
          <wp:inline xmlns:a="http://schemas.openxmlformats.org/drawingml/2006/main" xmlns:pic="http://schemas.openxmlformats.org/drawingml/2006/picture">
            <wp:extent cx="5220000" cy="2365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6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</w:pPr>
      <w:r>
        <w:rPr>
          <w:color w:val="6E6E6E"/>
          <w:sz w:val="16"/>
        </w:rPr>
        <w:t xml:space="preserve">Hospital beds as reported to the World Bank, public and private; 2023 is the latest year in the series. Sources: </w:t>
      </w:r>
      <w:hyperlink r:id="rId35">
        <w:r>
          <w:rPr>
            <w:color w:val="B31822"/>
            <w:vertAlign w:val="superscript"/>
          </w:rPr>
          <w:t xml:space="preserve">33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Foreign health systems active in Spain</w:t>
      </w:r>
    </w:p>
    <w:p>
      <w:pPr>
        <w:widowControl/>
      </w:pPr>
      <w:r>
        <w:rPr>
          <w:sz w:val="20"/>
        </w:rPr>
        <w:t>20 foreign institutions with confirmed active partnerships (20 in all): 6 training and education, 6 ownership or management, 5 research collaboration, 3 clinical affiliation. Sources in the profile and the partnerships tracker.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060000" cy="2318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in_partnerships_ma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3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i/>
          <w:color w:val="6E6E6E"/>
          <w:sz w:val="16"/>
        </w:rPr>
        <w:t>Active foreign health-system partnerships by city of the partner in Spain. Source: CSI partnerships tracker, verified 2026-10-30. Boundaries: Natural Earth; not an official depiction.</w:t>
      </w:r>
    </w:p>
    <w:tbl>
      <w:tblPr>
        <w:tblW w:type="auto" w:w="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  <w:tblHeader/>
        </w:trPr>
        <w:tc>
          <w:tcPr>
            <w:tcW w:type="dxa" w:w="3685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5953"/>
            <w:shd w:val="clear" w:color="auto" w:fill="D91F2C"/>
          </w:tcPr>
          <w:p>
            <w:r>
              <w:rPr>
                <w:b/>
                <w:color w:val="FFFFFF"/>
                <w:sz w:val="18"/>
              </w:rPr>
              <w:t>Nature of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Cleveland Clinic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George Washington University (School of Medicine and Health Sciences)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Harvard Medical School (Harvard University)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Johns Hopkins University (Bloomberg School of Public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MD Anderson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Mount Sinai Health System (Icahn School of Medicine, Mount Sinai Fuster Heart Hospital)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Penn State College of Medicine and Penn State Health (Beat Childhood Cancer Research Consortium)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Illinois Chicago (College of Applied Health Sciences)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University of Kansas Medical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ABC Medical Center (Centro Médico ABC)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Training and education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Aier Eye Hospital Group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Bupa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Burjeel Cancer Institute (Burjeel Holdings)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Cancer Core Europe (Gustave Roussy, DKFZ and NCT Heidelberg, Netherlands Cancer Institute, Karolinska Institutet, Cancer Research UK Cambridge Centre, Istituto Nazionale dei Tumori Milan)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Clariane (formerly Korian)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Fresenius Helios (Helios Health)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GenesisCare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Grupo Médico Joya (Hospitales Joya)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Clinical affiliation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Sun Yat-sen University Cancer Center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Research collaboration</w:t>
            </w:r>
          </w:p>
        </w:tc>
      </w:tr>
      <w:tr>
        <w:trPr>
          <w:cantSplit/>
        </w:trPr>
        <w:tc>
          <w:tcPr>
            <w:tcW w:type="dxa" w:w="3685"/>
          </w:tcPr>
          <w:p>
            <w:r>
              <w:rPr>
                <w:b/>
                <w:sz w:val="18"/>
              </w:rPr>
              <w:t>Vivalto Santé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Ownership or management</w:t>
            </w:r>
          </w:p>
        </w:tc>
      </w:tr>
    </w:tbl>
    <w:p>
      <w:pPr>
        <w:pStyle w:val="Heading1"/>
        <w:keepNext/>
        <w:widowControl/>
        <w:spacing w:before="280" w:after="80"/>
      </w:pPr>
      <w:r>
        <w:t>CSI Position, Risks and Recent News</w:t>
      </w:r>
    </w:p>
    <w:p>
      <w:pPr>
        <w:spacing w:before="0" w:after="80"/>
        <w:keepNext/>
        <w:widowControl/>
        <w:pBdr>
          <w:bottom w:val="single" w:sz="12" w:space="1" w:color="D91F2C"/>
        </w:pBdr>
      </w:pP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CSI partnerships in Spain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Opportunities for CSI</w:t>
      </w:r>
    </w:p>
    <w:p>
      <w:pPr>
        <w:keepNext/>
        <w:widowControl/>
      </w:pPr>
      <w:r>
        <w:rPr>
          <w:b/>
          <w:color w:val="996A00"/>
          <w:sz w:val="20"/>
          <w:highlight w:val="yellow"/>
        </w:rPr>
        <w:t>[MANUAL INPUT REQUIRED]</w:t>
      </w:r>
    </w:p>
    <w:p>
      <w:pPr>
        <w:widowControl/>
      </w:pPr>
      <w:r>
        <w:rPr>
          <w:i/>
          <w:color w:val="6E6E6E"/>
          <w:sz w:val="17"/>
        </w:rPr>
        <w:t>To be completed by CSI from internal data; not researched.</w:t>
      </w:r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Risks and watch items</w:t>
      </w:r>
    </w:p>
    <w:p>
      <w:pPr>
        <w:pStyle w:val="ListBullet"/>
        <w:widowControl/>
        <w:spacing w:after="60"/>
      </w:pPr>
      <w:r>
        <w:rPr>
          <w:sz w:val="21"/>
        </w:rPr>
        <w:t>A snap general election is set for 29 November 2026, and policy is on hold until a new government forms.</w:t>
      </w:r>
      <w:hyperlink r:id="rId23">
        <w:r>
          <w:rPr>
            <w:color w:val="B31822"/>
            <w:vertAlign w:val="superscript"/>
          </w:rPr>
          <w:t xml:space="preserve">14,</w:t>
        </w:r>
      </w:hyperlink>
      <w:hyperlink r:id="rId24">
        <w:r>
          <w:rPr>
            <w:color w:val="B31822"/>
            <w:vertAlign w:val="superscript"/>
          </w:rPr>
          <w:t xml:space="preserve">38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2023 state budget has been rolled over into 2026, a third year.</w:t>
      </w:r>
      <w:hyperlink r:id="rId37">
        <w:r>
          <w:rPr>
            <w:color w:val="B31822"/>
            <w:vertAlign w:val="superscript"/>
          </w:rPr>
          <w:t xml:space="preserve">15</w:t>
        </w:r>
      </w:hyperlink>
    </w:p>
    <w:p>
      <w:pPr>
        <w:pStyle w:val="ListBullet"/>
        <w:widowControl/>
        <w:spacing w:after="60"/>
      </w:pPr>
      <w:r>
        <w:rPr>
          <w:sz w:val="21"/>
        </w:rPr>
        <w:t>The end of NextGenerationEU funding could weigh on investment.</w:t>
      </w:r>
      <w:hyperlink r:id="rId38">
        <w:r>
          <w:rPr>
            <w:color w:val="B31822"/>
            <w:vertAlign w:val="superscript"/>
          </w:rPr>
          <w:t xml:space="preserve">18</w:t>
        </w:r>
      </w:hyperlink>
    </w:p>
    <w:p>
      <w:pPr>
        <w:keepNext/>
        <w:widowControl/>
        <w:spacing w:before="160" w:after="60"/>
      </w:pPr>
      <w:r>
        <w:rPr>
          <w:b/>
          <w:color w:val="B31822"/>
          <w:sz w:val="24"/>
        </w:rPr>
        <w:t>Recent developments</w:t>
      </w:r>
    </w:p>
    <w:p>
      <w:pPr>
        <w:widowControl/>
        <w:spacing w:after="60"/>
      </w:pPr>
      <w:r>
        <w:rPr>
          <w:b/>
          <w:color w:val="B31822"/>
          <w:sz w:val="20"/>
        </w:rPr>
        <w:t xml:space="preserve">2026-10-07   </w:t>
      </w:r>
      <w:r>
        <w:rPr>
          <w:sz w:val="20"/>
        </w:rPr>
        <w:t>Doctors' unions postponed the indefinite strike planned from 28 October, saying the Estatuto Marco bill lapses.</w:t>
      </w:r>
      <w:hyperlink r:id="rId24">
        <w:r>
          <w:rPr>
            <w:color w:val="B31822"/>
            <w:vertAlign w:val="superscript"/>
          </w:rPr>
          <w:t xml:space="preserve">38</w:t>
        </w:r>
      </w:hyperlink>
    </w:p>
    <w:p>
      <w:pPr>
        <w:widowControl/>
        <w:spacing w:after="60"/>
      </w:pPr>
      <w:r>
        <w:rPr>
          <w:b/>
          <w:color w:val="B31822"/>
          <w:sz w:val="20"/>
        </w:rPr>
        <w:t xml:space="preserve">2026-07-21   </w:t>
      </w:r>
      <w:r>
        <w:rPr>
          <w:sz w:val="20"/>
        </w:rPr>
        <w:t>The government sent the Cortes a Medicines and Health Products bill and a tobacco bill.</w:t>
      </w:r>
      <w:hyperlink r:id="rId39">
        <w:r>
          <w:rPr>
            <w:color w:val="B31822"/>
            <w:vertAlign w:val="superscript"/>
          </w:rPr>
          <w:t xml:space="preserve">39</w:t>
        </w:r>
      </w:hyperlink>
    </w:p>
    <w:p>
      <w:pPr>
        <w:spacing w:after="60"/>
      </w:pPr>
      <w:r>
        <w:rPr>
          <w:b/>
          <w:color w:val="B31822"/>
          <w:sz w:val="20"/>
        </w:rPr>
        <w:t xml:space="preserve">2026-05-13   </w:t>
      </w:r>
      <w:r>
        <w:rPr>
          <w:sz w:val="20"/>
        </w:rPr>
        <w:t>The Ministry of Health reported public health spending of €101.7 billion (US$114 billion) in 2024, 6.4 percent of GDP.</w:t>
      </w:r>
      <w:hyperlink r:id="rId26">
        <w:r>
          <w:rPr>
            <w:color w:val="B31822"/>
            <w:vertAlign w:val="superscript"/>
          </w:rPr>
          <w:t xml:space="preserve">16</w:t>
        </w:r>
      </w:hyperlink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6E6E"/>
        <w:sz w:val="18"/>
      </w:rPr>
      <w:t xml:space="preserve">Cedars-Sinai International   </w:t>
    </w:r>
    <w:r>
      <w:rPr>
        <w:color w:val="6E6E6E"/>
        <w:sz w:val="18"/>
      </w:rPr>
      <w:fldChar w:fldCharType="begin"/>
    </w:r>
    <w:r>
      <w:rPr>
        <w:color w:val="6E6E6E"/>
        <w:sz w:val="18"/>
      </w:rPr>
      <w:instrText xml:space="preserve"> PAGE </w:instrText>
    </w:r>
    <w:r>
      <w:rPr>
        <w:color w:val="6E6E6E"/>
        <w:sz w:val="18"/>
      </w:rPr>
      <w:fldChar w:fldCharType="separate"/>
    </w:r>
    <w:r>
      <w:rPr>
        <w:color w:val="6E6E6E"/>
        <w:sz w:val="18"/>
      </w:rPr>
      <w:t/>
    </w:r>
    <w:r>
      <w:rPr>
        <w:color w:val="6E6E6E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/>
      <w:color w:val="2424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D91F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B318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hyperlink" Target="https://www.ine.es/dyngs/Prensa/en/ECP2T26.htm" TargetMode="External"/><Relationship Id="rId12" Type="http://schemas.openxmlformats.org/officeDocument/2006/relationships/hyperlink" Target="https://api.worldbank.org/v2/country/ESP/indicator/NY.GDP.PCAP.PP.CD?format=json&amp;per_page=80&amp;date=2008:2025" TargetMode="External"/><Relationship Id="rId13" Type="http://schemas.openxmlformats.org/officeDocument/2006/relationships/hyperlink" Target="https://api.worldbank.org/v2/country/ESP/indicator/SH.XPD.CHEX.GD.ZS?format=json&amp;per_page=80&amp;date=2008:2025" TargetMode="External"/><Relationship Id="rId14" Type="http://schemas.openxmlformats.org/officeDocument/2006/relationships/hyperlink" Target="https://api.worldbank.org/v2/country/ESP/indicator/SH.XPD.OOPC.CH.ZS?format=json&amp;per_page=80&amp;date=2008:2025" TargetMode="External"/><Relationship Id="rId15" Type="http://schemas.openxmlformats.org/officeDocument/2006/relationships/hyperlink" Target="https://eurohealthobservatory.who.int/docs/librariesprovider3/country-health-profiles/chp2025pdf/soheu-2025-spain-final-web.pdf?sfvrsn=3a74e2a8_1&amp;download=true" TargetMode="External"/><Relationship Id="rId16" Type="http://schemas.openxmlformats.org/officeDocument/2006/relationships/hyperlink" Target="https://api.worldbank.org/v2/country/ESP/indicator/SP.DYN.LE00.IN?format=json&amp;per_page=80&amp;date=2008:2025" TargetMode="External"/><Relationship Id="rId17" Type="http://schemas.openxmlformats.org/officeDocument/2006/relationships/hyperlink" Target="https://api.worldbank.org/v2/country/ESP/indicator/SP.POP.65UP.TO.ZS?format=json&amp;per_page=80&amp;date=2008:2025" TargetMode="External"/><Relationship Id="rId18" Type="http://schemas.openxmlformats.org/officeDocument/2006/relationships/hyperlink" Target="https://api.worldbank.org/v2/country/ESP/indicator/SH.XPD.CHEX.PC.CD?format=json&amp;per_page=80&amp;date=2008:2025" TargetMode="External"/><Relationship Id="rId19" Type="http://schemas.openxmlformats.org/officeDocument/2006/relationships/hyperlink" Target="https://www.boe.es/buscar/act.php?id=BOE-A-1978-31229" TargetMode="External"/><Relationship Id="rId20" Type="http://schemas.openxmlformats.org/officeDocument/2006/relationships/hyperlink" Target="https://www.lamoncloa.gob.es/presidente/actividades/Paginas/2026/051026-sanchez-convocatoria-elecciones.aspx" TargetMode="External"/><Relationship Id="rId21" Type="http://schemas.openxmlformats.org/officeDocument/2006/relationships/hyperlink" Target="https://www.lamoncloa.gob.es/gobierno/composiciondelgobierno/Paginas/index.aspx" TargetMode="External"/><Relationship Id="rId22" Type="http://schemas.openxmlformats.org/officeDocument/2006/relationships/hyperlink" Target="https://www.ine.es/dyngs/Prensa/en/CNTR2T26.htm" TargetMode="External"/><Relationship Id="rId23" Type="http://schemas.openxmlformats.org/officeDocument/2006/relationships/hyperlink" Target="https://www.boe.es/diario_boe/txt.php?id=BOE-A-2026-20742" TargetMode="External"/><Relationship Id="rId24" Type="http://schemas.openxmlformats.org/officeDocument/2006/relationships/hyperlink" Target="https://rtvc.es/los-medicos-aplazan-la-huelga-tras-la-convocatoria-de-elecciones-7-octubre-2026/" TargetMode="External"/><Relationship Id="rId25" Type="http://schemas.openxmlformats.org/officeDocument/2006/relationships/hyperlink" Target="https://www.sanidad.gob.es/estadEstudios/estadisticas/inforRecopilaciones/docs/LISTAS_PUBLICACION_Dic_2025_rectificado.pdf" TargetMode="External"/><Relationship Id="rId26" Type="http://schemas.openxmlformats.org/officeDocument/2006/relationships/hyperlink" Target="https://www.lamoncloa.gob.es/serviciosdeprensa/notasprensa/sanidad14/paginas/2026/130526-gasto-sanitario-publico-2024.aspx" TargetMode="External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hyperlink" Target="https://api.worldbank.org/v2/country/ESP;PRT;FRA;ITA;DEU;GBR;USA;OED;EUU/indicator/SH.MED.PHYS.ZS?format=json&amp;per_page=400&amp;date=2018:2025" TargetMode="External"/><Relationship Id="rId30" Type="http://schemas.openxmlformats.org/officeDocument/2006/relationships/hyperlink" Target="https://www.fundacionidis.com/uploads/informes/Observatorio_S._S._privado_IDIS_2026_V20260518_sin_CCAA.pdf" TargetMode="External"/><Relationship Id="rId31" Type="http://schemas.openxmlformats.org/officeDocument/2006/relationships/hyperlink" Target="https://www.elespanol.com/invertia/observatorios/sanidad/20260408/matriz-quiron-fresenius-planea-abrir-nuevos-hospitales-ampliar-centros-espana/1003744197967_0.html" TargetMode="External"/><Relationship Id="rId32" Type="http://schemas.openxmlformats.org/officeDocument/2006/relationships/hyperlink" Target="https://informeanual.sanitas.es/en/" TargetMode="External"/><Relationship Id="rId33" Type="http://schemas.openxmlformats.org/officeDocument/2006/relationships/hyperlink" Target="https://hospiten.com/en/news/md-anderson-cancer-center-madrid-hospiten-reconocido-los-mejores-hospitales-oncologicos" TargetMode="External"/><Relationship Id="rId34" Type="http://schemas.openxmlformats.org/officeDocument/2006/relationships/image" Target="media/image4.png"/><Relationship Id="rId35" Type="http://schemas.openxmlformats.org/officeDocument/2006/relationships/hyperlink" Target="https://api.worldbank.org/v2/country/ESP/indicator/SH.MED.BEDS.ZS?format=json&amp;per_page=80&amp;date=2008:2025" TargetMode="External"/><Relationship Id="rId36" Type="http://schemas.openxmlformats.org/officeDocument/2006/relationships/image" Target="media/image5.png"/><Relationship Id="rId37" Type="http://schemas.openxmlformats.org/officeDocument/2006/relationships/hyperlink" Target="https://www.lamoncloa.gob.es/consejodeministros/referencias/paginas/2025/20251223-referencia-rueda-de-prensa-ministros.aspx" TargetMode="External"/><Relationship Id="rId38" Type="http://schemas.openxmlformats.org/officeDocument/2006/relationships/hyperlink" Target="https://www.bde.es/wbe/es/publicaciones/analisis-economico-investigacion/proyecciones-macro-informe-trimestral/proyecciones-e-informe-trimestral-de-la-economia-espanola-tercer-trimestre-2026.html" TargetMode="External"/><Relationship Id="rId39" Type="http://schemas.openxmlformats.org/officeDocument/2006/relationships/hyperlink" Target="https://www.lamoncloa.gob.es/consejodeministros/resumenes/paginas/2026/210726-rueda-prensa-ministros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