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200"/>
      </w:pPr>
      <w:r>
        <w:rPr>
          <w:b/>
          <w:color w:val="CC0000"/>
          <w:sz w:val="40"/>
        </w:rPr>
        <w:t xml:space="preserve">Country Summary: </w:t>
      </w:r>
      <w:r>
        <w:rPr>
          <w:b w:val="0"/>
          <w:color w:val="CC0000"/>
          <w:sz w:val="40"/>
        </w:rPr>
        <w:t>Indonesia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6188710" cy="3482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onesi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2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80"/>
        <w:jc w:val="right"/>
      </w:pPr>
      <w:r>
        <w:rPr>
          <w:color w:val="6E6E6E"/>
          <w:sz w:val="14"/>
        </w:rPr>
        <w:t>Photo: Gunawan Kartapranata (Public domain), via Wikimedia Commons</w:t>
      </w:r>
    </w:p>
    <w:p>
      <w:pPr>
        <w:widowControl/>
        <w:spacing w:before="360"/>
      </w:pPr>
      <w:r>
        <w:rPr>
          <w:i/>
          <w:color w:val="6E6E6E"/>
          <w:sz w:val="20"/>
        </w:rPr>
        <w:t>Executive summary of the Indonesia country profile (2026-10-07). Superscript numbers refer to the numbered sources in Indonesia_Profile_DRAFT_SOURCES.docx.</w:t>
      </w: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280" w:after="80"/>
      </w:pPr>
      <w:r>
        <w:t>At a Glance</w:t>
      </w:r>
    </w:p>
    <w:p>
      <w:pPr>
        <w:spacing w:before="0" w:after="80"/>
        <w:keepNext/>
        <w:widowControl/>
        <w:pBdr>
          <w:bottom w:val="single" w:sz="12" w:space="1" w:color="D91F2C"/>
        </w:pBdr>
      </w:pPr>
    </w:p>
    <w:tbl>
      <w:tblPr>
        <w:tblW w:type="auto" w:w="0"/>
        <w:jc w:val="center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18" w:color="FFFFFF"/>
          <w:insideV w:val="single" w:sz="18" w:color="FFFFFF"/>
        </w:tblBorders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shd w:val="clear" w:color="auto" w:fill="F7F5F2"/>
          </w:tcPr>
          <w:p>
            <w:pPr>
              <w:keepNext/>
              <w:spacing w:before="120" w:after="0"/>
            </w:pPr>
            <w:r>
              <w:rPr>
                <w:b/>
                <w:color w:val="0B0B0B"/>
                <w:sz w:val="36"/>
              </w:rPr>
              <w:t>285.7 m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Population, 2025 estimate</w:t>
            </w:r>
            <w:hyperlink r:id="rId11">
              <w:r>
                <w:rPr>
                  <w:color w:val="B31822"/>
                  <w:vertAlign w:val="superscript"/>
                </w:rPr>
                <w:t xml:space="preserve">2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keepNext/>
              <w:spacing w:before="120" w:after="0"/>
            </w:pPr>
            <w:r>
              <w:rPr>
                <w:b/>
                <w:color w:val="0B0B0B"/>
                <w:sz w:val="36"/>
              </w:rPr>
              <w:t>17,660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GDP per capita, PPP (international dollars), about, 2025</w:t>
            </w:r>
            <w:hyperlink r:id="rId12">
              <w:r>
                <w:rPr>
                  <w:color w:val="B31822"/>
                  <w:vertAlign w:val="superscript"/>
                </w:rPr>
                <w:t xml:space="preserve">4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keepNext/>
              <w:spacing w:before="120" w:after="0"/>
            </w:pPr>
            <w:r>
              <w:rPr>
                <w:b/>
                <w:color w:val="0B0B0B"/>
                <w:sz w:val="36"/>
              </w:rPr>
              <w:t>2.70%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Current health expenditure, share of GDP, 2023</w:t>
            </w:r>
            <w:hyperlink r:id="rId13">
              <w:r>
                <w:rPr>
                  <w:color w:val="B31822"/>
                  <w:vertAlign w:val="superscript"/>
                </w:rPr>
                <w:t xml:space="preserve">40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keepNext/>
              <w:spacing w:before="120" w:after="0"/>
            </w:pPr>
            <w:r>
              <w:rPr>
                <w:b/>
                <w:color w:val="0B0B0B"/>
                <w:sz w:val="36"/>
              </w:rPr>
              <w:t>31.1%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Out-of-pocket share of current health expenditure, 2023</w:t>
            </w:r>
            <w:hyperlink r:id="rId14">
              <w:r>
                <w:rPr>
                  <w:color w:val="B31822"/>
                  <w:vertAlign w:val="superscript"/>
                </w:rPr>
                <w:t xml:space="preserve">43</w:t>
              </w:r>
            </w:hyperlink>
          </w:p>
        </w:tc>
      </w:tr>
      <w:tr>
        <w:trPr>
          <w:cantSplit/>
        </w:trPr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0.52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Physicians per 1,000 people, 2023</w:t>
            </w:r>
            <w:hyperlink r:id="rId15">
              <w:r>
                <w:rPr>
                  <w:color w:val="B31822"/>
                  <w:vertAlign w:val="superscript"/>
                </w:rPr>
                <w:t xml:space="preserve">48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1.37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Hospital beds per 1,000 people, 2023</w:t>
            </w:r>
            <w:hyperlink r:id="rId16">
              <w:r>
                <w:rPr>
                  <w:color w:val="B31822"/>
                  <w:vertAlign w:val="superscript"/>
                </w:rPr>
                <w:t xml:space="preserve">50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382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Tuberculosis incidence per 100,000 people, 2024</w:t>
            </w:r>
            <w:hyperlink r:id="rId17">
              <w:r>
                <w:rPr>
                  <w:color w:val="B31822"/>
                  <w:vertAlign w:val="superscript"/>
                </w:rPr>
                <w:t xml:space="preserve">25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282.7 m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People covered by national health insurance (JKN), end of 2025</w:t>
            </w:r>
            <w:hyperlink r:id="rId18">
              <w:r>
                <w:rPr>
                  <w:color w:val="B31822"/>
                  <w:vertAlign w:val="superscript"/>
                </w:rPr>
                <w:t xml:space="preserve">30</w:t>
              </w:r>
            </w:hyperlink>
          </w:p>
        </w:tc>
      </w:tr>
    </w:tbl>
    <w:p>
      <w:pPr>
        <w:keepNext/>
        <w:widowControl/>
        <w:spacing w:before="160" w:after="60"/>
      </w:pPr>
      <w:r>
        <w:rPr>
          <w:b/>
          <w:color w:val="B31822"/>
          <w:sz w:val="24"/>
        </w:rPr>
        <w:t>Country background</w:t>
      </w:r>
    </w:p>
    <w:p>
      <w:pPr>
        <w:widowControl/>
      </w:pPr>
      <w:r>
        <w:rPr>
          <w:sz w:val="21"/>
        </w:rPr>
        <w:t>Indonesia, with about 285.7 million people in 2025, is a republic led by a directly elected president, and its capital is Jakarta.</w:t>
      </w:r>
      <w:hyperlink r:id="rId19">
        <w:r>
          <w:rPr>
            <w:color w:val="B31822"/>
            <w:vertAlign w:val="superscript"/>
          </w:rPr>
          <w:t xml:space="preserve">1,</w:t>
        </w:r>
      </w:hyperlink>
      <w:hyperlink r:id="rId11">
        <w:r>
          <w:rPr>
            <w:color w:val="B31822"/>
            <w:vertAlign w:val="superscript"/>
          </w:rPr>
          <w:t xml:space="preserve">2,</w:t>
        </w:r>
      </w:hyperlink>
      <w:hyperlink r:id="rId20">
        <w:r>
          <w:rPr>
            <w:color w:val="B31822"/>
            <w:vertAlign w:val="superscript"/>
          </w:rPr>
          <w:t xml:space="preserve">5</w:t>
        </w:r>
      </w:hyperlink>
      <w:r>
        <w:rPr>
          <w:sz w:val="21"/>
        </w:rPr>
        <w:t xml:space="preserve"> President Prabowo Subianto was sworn in on 20 October 2024 with Vice President Gibran Rakabuming Raka, and Budi Gunadi Sadikin still led the Health Ministry in August 2026.</w:t>
      </w:r>
      <w:hyperlink r:id="rId20">
        <w:r>
          <w:rPr>
            <w:color w:val="B31822"/>
            <w:vertAlign w:val="superscript"/>
          </w:rPr>
          <w:t xml:space="preserve">5,</w:t>
        </w:r>
      </w:hyperlink>
      <w:hyperlink r:id="rId21">
        <w:r>
          <w:rPr>
            <w:color w:val="B31822"/>
            <w:vertAlign w:val="superscript"/>
          </w:rPr>
          <w:t xml:space="preserve">15</w:t>
        </w:r>
      </w:hyperlink>
      <w:r>
        <w:rPr>
          <w:sz w:val="21"/>
        </w:rPr>
        <w:t xml:space="preserve"> The economy grew 5.11 percent in 2025, and GDP was about 5.05 trillion international dollars at purchasing power parity.</w:t>
      </w:r>
      <w:hyperlink r:id="rId22">
        <w:r>
          <w:rPr>
            <w:color w:val="B31822"/>
            <w:vertAlign w:val="superscript"/>
          </w:rPr>
          <w:t xml:space="preserve">3,</w:t>
        </w:r>
      </w:hyperlink>
      <w:hyperlink r:id="rId23">
        <w:r>
          <w:rPr>
            <w:color w:val="B31822"/>
            <w:vertAlign w:val="superscript"/>
          </w:rPr>
          <w:t xml:space="preserve">17</w:t>
        </w:r>
      </w:hyperlink>
      <w:r>
        <w:rPr>
          <w:sz w:val="21"/>
        </w:rPr>
        <w:t xml:space="preserve"> The World Bank projects growth of 5.0 percent in 2026.</w:t>
      </w:r>
      <w:hyperlink r:id="rId24">
        <w:r>
          <w:rPr>
            <w:color w:val="B31822"/>
            <w:vertAlign w:val="superscript"/>
          </w:rPr>
          <w:t xml:space="preserve">20</w:t>
        </w:r>
      </w:hyperlink>
      <w:r>
        <w:rPr>
          <w:sz w:val="21"/>
        </w:rPr>
        <w:t xml:space="preserve"> Life expectancy at birth was 71.3 years in 2024, 59.4 percent of people lived in urban areas in 2025, and people aged 65 and over made up 7.5 percent.</w:t>
      </w:r>
      <w:hyperlink r:id="rId25">
        <w:r>
          <w:rPr>
            <w:color w:val="B31822"/>
            <w:vertAlign w:val="superscript"/>
          </w:rPr>
          <w:t xml:space="preserve">7,</w:t>
        </w:r>
      </w:hyperlink>
      <w:hyperlink r:id="rId26">
        <w:r>
          <w:rPr>
            <w:color w:val="B31822"/>
            <w:vertAlign w:val="superscript"/>
          </w:rPr>
          <w:t xml:space="preserve">9,</w:t>
        </w:r>
      </w:hyperlink>
      <w:hyperlink r:id="rId27">
        <w:r>
          <w:rPr>
            <w:color w:val="B31822"/>
            <w:vertAlign w:val="superscript"/>
          </w:rPr>
          <w:t xml:space="preserve">10</w:t>
        </w:r>
      </w:hyperlink>
      <w:r>
        <w:rPr>
          <w:sz w:val="21"/>
        </w:rPr>
        <w:t xml:space="preserve"> Noncommunicable diseases cause about two-thirds of deaths.</w:t>
      </w:r>
      <w:hyperlink r:id="rId28">
        <w:r>
          <w:rPr>
            <w:color w:val="B31822"/>
            <w:vertAlign w:val="superscript"/>
          </w:rPr>
          <w:t xml:space="preserve">11</w:t>
        </w:r>
      </w:hyperlink>
      <w:r>
        <w:rPr>
          <w:sz w:val="21"/>
        </w:rPr>
        <w:t xml:space="preserve"> The key risk is JKN finances: the fund's deficit was Rp 17.13 trillion in 2025, and BPJS Kesehatan said it could begin missing claim payments by July 2027 without government intervention.</w:t>
      </w:r>
      <w:hyperlink r:id="rId29">
        <w:r>
          <w:rPr>
            <w:color w:val="B31822"/>
            <w:vertAlign w:val="superscript"/>
          </w:rPr>
          <w:t xml:space="preserve">31,</w:t>
        </w:r>
      </w:hyperlink>
      <w:hyperlink r:id="rId30">
        <w:r>
          <w:rPr>
            <w:color w:val="B31822"/>
            <w:vertAlign w:val="superscript"/>
          </w:rPr>
          <w:t xml:space="preserve">47</w:t>
        </w:r>
      </w:hyperlink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Key takeaways for CSI</w:t>
      </w:r>
    </w:p>
    <w:p>
      <w:pPr>
        <w:pStyle w:val="ListBullet"/>
        <w:widowControl/>
        <w:spacing w:after="60"/>
      </w:pPr>
      <w:r>
        <w:rPr>
          <w:sz w:val="21"/>
        </w:rPr>
        <w:t>National health insurance covered 282.7 million people, more than 98 percent of the population, at the end of 2025.</w:t>
      </w:r>
      <w:hyperlink r:id="rId18">
        <w:r>
          <w:rPr>
            <w:color w:val="B31822"/>
            <w:vertAlign w:val="superscript"/>
          </w:rPr>
          <w:t xml:space="preserve">30</w:t>
        </w:r>
      </w:hyperlink>
    </w:p>
    <w:p>
      <w:pPr>
        <w:pStyle w:val="ListBullet"/>
        <w:widowControl/>
        <w:spacing w:after="60"/>
      </w:pPr>
      <w:r>
        <w:rPr>
          <w:sz w:val="21"/>
        </w:rPr>
        <w:t>Current health spending was 2.70 percent of GDP in 2023, below Malaysia, Thailand, Vietnam and the Philippines.</w:t>
      </w:r>
      <w:hyperlink r:id="rId13">
        <w:r>
          <w:rPr>
            <w:color w:val="B31822"/>
            <w:vertAlign w:val="superscript"/>
          </w:rPr>
          <w:t xml:space="preserve">40,</w:t>
        </w:r>
      </w:hyperlink>
      <w:hyperlink r:id="rId31">
        <w:r>
          <w:rPr>
            <w:color w:val="B31822"/>
            <w:vertAlign w:val="superscript"/>
          </w:rPr>
          <w:t xml:space="preserve">44</w:t>
        </w:r>
      </w:hyperlink>
    </w:p>
    <w:p>
      <w:pPr>
        <w:pStyle w:val="ListBullet"/>
        <w:widowControl/>
        <w:spacing w:after="60"/>
      </w:pPr>
      <w:r>
        <w:rPr>
          <w:sz w:val="21"/>
        </w:rPr>
        <w:t>Only 27 to 30 of 92 medical faculties could produce specialists, a Health Ministry spokesperson said in August 2024.</w:t>
      </w:r>
      <w:hyperlink r:id="rId32">
        <w:r>
          <w:rPr>
            <w:color w:val="B31822"/>
            <w:vertAlign w:val="superscript"/>
          </w:rPr>
          <w:t xml:space="preserve">53</w:t>
        </w:r>
      </w:hyperlink>
    </w:p>
    <w:p>
      <w:pPr>
        <w:pStyle w:val="ListBullet"/>
        <w:widowControl/>
        <w:spacing w:after="60"/>
      </w:pPr>
      <w:r>
        <w:rPr>
          <w:sz w:val="21"/>
        </w:rPr>
        <w:t>Private operators ran 1,576 of 2,710 general hospitals, or 58 percent, in 2024.</w:t>
      </w:r>
      <w:hyperlink r:id="rId33">
        <w:r>
          <w:rPr>
            <w:color w:val="B31822"/>
            <w:vertAlign w:val="superscript"/>
          </w:rPr>
          <w:t xml:space="preserve">32</w:t>
        </w:r>
      </w:hyperlink>
    </w:p>
    <w:p>
      <w:pPr>
        <w:pStyle w:val="Heading1"/>
        <w:keepNext/>
        <w:widowControl/>
        <w:spacing w:before="280" w:after="80"/>
      </w:pPr>
      <w:r>
        <w:t>Health System</w:t>
      </w:r>
    </w:p>
    <w:p>
      <w:pPr>
        <w:spacing w:before="0" w:after="80"/>
        <w:keepNext/>
        <w:widowControl/>
        <w:pBdr>
          <w:bottom w:val="single" w:sz="12" w:space="1" w:color="D91F2C"/>
        </w:pBdr>
      </w:pPr>
    </w:p>
    <w:p>
      <w:pPr>
        <w:pStyle w:val="ListBullet"/>
        <w:widowControl/>
        <w:spacing w:after="60"/>
      </w:pPr>
      <w:r>
        <w:rPr>
          <w:sz w:val="21"/>
        </w:rPr>
        <w:t>Free health checks began on 10 February 2025 at about 10,200 puskesmas.</w:t>
      </w:r>
      <w:hyperlink r:id="rId34">
        <w:r>
          <w:rPr>
            <w:color w:val="B31822"/>
            <w:vertAlign w:val="superscript"/>
          </w:rPr>
          <w:t xml:space="preserve">34</w:t>
        </w:r>
      </w:hyperlink>
    </w:p>
    <w:p>
      <w:pPr>
        <w:pStyle w:val="ListBullet"/>
        <w:widowControl/>
        <w:spacing w:after="60"/>
      </w:pPr>
      <w:r>
        <w:rPr>
          <w:sz w:val="21"/>
        </w:rPr>
        <w:t>The government plans to renovate 8,001 puskesmas, build 1,988 new ones and upgrade 441 regional hospitals from 2027 to 2029.</w:t>
      </w:r>
      <w:hyperlink r:id="rId35">
        <w:r>
          <w:rPr>
            <w:color w:val="B31822"/>
            <w:vertAlign w:val="superscript"/>
          </w:rPr>
          <w:t xml:space="preserve">35</w:t>
        </w:r>
      </w:hyperlink>
    </w:p>
    <w:p>
      <w:pPr>
        <w:pStyle w:val="ListBullet"/>
        <w:widowControl/>
        <w:spacing w:after="60"/>
      </w:pPr>
      <w:r>
        <w:rPr>
          <w:sz w:val="21"/>
        </w:rPr>
        <w:t>The World Bank reports that out-of-pocket spending fell from 45 to 31 percent of total health spending.</w:t>
      </w:r>
      <w:hyperlink r:id="rId28">
        <w:r>
          <w:rPr>
            <w:color w:val="B31822"/>
            <w:vertAlign w:val="superscript"/>
          </w:rPr>
          <w:t xml:space="preserve">11</w:t>
        </w:r>
      </w:hyperlink>
    </w:p>
    <w:p>
      <w:pPr>
        <w:keepNext/>
        <w:widowControl/>
        <w:spacing w:before="160" w:after="40"/>
      </w:pPr>
      <w:r>
        <w:rPr>
          <w:b/>
          <w:sz w:val="21"/>
        </w:rPr>
        <w:t>Indonesia: health spending and out-of-pocket share, 2012 to 2023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5580000" cy="3313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ndi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</w:pPr>
      <w:r>
        <w:rPr>
          <w:color w:val="6E6E6E"/>
          <w:sz w:val="16"/>
        </w:rPr>
        <w:t xml:space="preserve">Current health expenditure is shown as a share of GDP; out-of-pocket spending is shown as a share of current health expenditure. Sources: </w:t>
      </w:r>
      <w:hyperlink r:id="rId13">
        <w:r>
          <w:rPr>
            <w:color w:val="B31822"/>
            <w:vertAlign w:val="superscript"/>
          </w:rPr>
          <w:t xml:space="preserve">40,</w:t>
        </w:r>
      </w:hyperlink>
      <w:hyperlink r:id="rId14">
        <w:r>
          <w:rPr>
            <w:color w:val="B31822"/>
            <w:vertAlign w:val="superscript"/>
          </w:rPr>
          <w:t xml:space="preserve">43</w:t>
        </w:r>
      </w:hyperlink>
    </w:p>
    <w:p>
      <w:pPr>
        <w:keepNext/>
        <w:widowControl/>
        <w:spacing w:before="160" w:after="40"/>
      </w:pPr>
      <w:r>
        <w:rPr>
          <w:b/>
          <w:sz w:val="21"/>
        </w:rPr>
        <w:t>Physicians per 1,000 people, Indonesia and comparators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5580000" cy="37133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orc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13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</w:pPr>
      <w:r>
        <w:rPr>
          <w:color w:val="6E6E6E"/>
          <w:sz w:val="16"/>
        </w:rPr>
        <w:t xml:space="preserve">Latest comparable World Bank values: 2021 for countries and 2022 for the OECD members and world aggregates. Indonesia's 2023 value was 0.52. Sources: </w:t>
      </w:r>
      <w:hyperlink r:id="rId15">
        <w:r>
          <w:rPr>
            <w:color w:val="B31822"/>
            <w:vertAlign w:val="superscript"/>
          </w:rPr>
          <w:t xml:space="preserve">48</w:t>
        </w:r>
      </w:hyperlink>
    </w:p>
    <w:p>
      <w:pPr>
        <w:pStyle w:val="Heading1"/>
        <w:keepNext/>
        <w:widowControl/>
        <w:spacing w:before="280" w:after="80"/>
      </w:pPr>
      <w:r>
        <w:t>Market and Competition</w:t>
      </w:r>
    </w:p>
    <w:p>
      <w:pPr>
        <w:spacing w:before="0" w:after="80"/>
        <w:keepNext/>
        <w:widowControl/>
        <w:pBdr>
          <w:bottom w:val="single" w:sz="12" w:space="1" w:color="D91F2C"/>
        </w:pBdr>
      </w:pPr>
    </w:p>
    <w:p>
      <w:pPr>
        <w:pStyle w:val="ListBullet"/>
        <w:widowControl/>
        <w:spacing w:after="60"/>
      </w:pPr>
      <w:r>
        <w:rPr>
          <w:sz w:val="21"/>
        </w:rPr>
        <w:t>Siloam reported 2025 revenue of Rp 12.84 trillion and net profit of Rp 1.11 trillion.</w:t>
      </w:r>
      <w:hyperlink r:id="rId38">
        <w:r>
          <w:rPr>
            <w:color w:val="B31822"/>
            <w:vertAlign w:val="superscript"/>
          </w:rPr>
          <w:t xml:space="preserve">36</w:t>
        </w:r>
      </w:hyperlink>
    </w:p>
    <w:p>
      <w:pPr>
        <w:pStyle w:val="ListBullet"/>
        <w:widowControl/>
        <w:spacing w:after="60"/>
      </w:pPr>
      <w:r>
        <w:rPr>
          <w:sz w:val="21"/>
        </w:rPr>
        <w:t>Mayapada Group has committed Rp 6.91 trillion through 2032 to a Batam project with India's Apollo Hospitals.</w:t>
      </w:r>
      <w:hyperlink r:id="rId39">
        <w:r>
          <w:rPr>
            <w:color w:val="B31822"/>
            <w:vertAlign w:val="superscript"/>
          </w:rPr>
          <w:t xml:space="preserve">38,</w:t>
        </w:r>
      </w:hyperlink>
      <w:hyperlink r:id="rId40">
        <w:r>
          <w:rPr>
            <w:color w:val="B31822"/>
            <w:vertAlign w:val="superscript"/>
          </w:rPr>
          <w:t xml:space="preserve">39</w:t>
        </w:r>
      </w:hyperlink>
    </w:p>
    <w:p>
      <w:pPr>
        <w:pStyle w:val="ListBullet"/>
        <w:widowControl/>
        <w:spacing w:after="60"/>
      </w:pPr>
      <w:r>
        <w:rPr>
          <w:sz w:val="21"/>
        </w:rPr>
        <w:t>At Bali International Hospital, Australia's Icon Group runs the cancer center and SingHealth is the academic partner.</w:t>
      </w:r>
      <w:hyperlink r:id="rId39">
        <w:r>
          <w:rPr>
            <w:color w:val="B31822"/>
            <w:vertAlign w:val="superscript"/>
          </w:rPr>
          <w:t xml:space="preserve">38,</w:t>
        </w:r>
      </w:hyperlink>
      <w:hyperlink r:id="rId41">
        <w:r>
          <w:rPr>
            <w:color w:val="B31822"/>
            <w:vertAlign w:val="superscript"/>
          </w:rPr>
          <w:t xml:space="preserve">57</w:t>
        </w:r>
      </w:hyperlink>
    </w:p>
    <w:p>
      <w:pPr>
        <w:keepNext/>
        <w:widowControl/>
        <w:spacing w:before="160" w:after="40"/>
      </w:pPr>
      <w:r>
        <w:rPr>
          <w:b/>
          <w:sz w:val="21"/>
        </w:rPr>
        <w:t>Indonesia: hospital beds per 1,000 people, 2012 to 2023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5220000" cy="23653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6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</w:pPr>
      <w:r>
        <w:rPr>
          <w:color w:val="6E6E6E"/>
          <w:sz w:val="16"/>
        </w:rPr>
        <w:t xml:space="preserve">Hospital beds per 1,000 people as published in the World Bank indicator SH.MED.BEDS.ZS. Sources: </w:t>
      </w:r>
      <w:hyperlink r:id="rId16">
        <w:r>
          <w:rPr>
            <w:color w:val="B31822"/>
            <w:vertAlign w:val="superscript"/>
          </w:rPr>
          <w:t xml:space="preserve">50</w:t>
        </w:r>
      </w:hyperlink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Foreign health systems active in Indonesia</w:t>
      </w:r>
    </w:p>
    <w:p>
      <w:pPr>
        <w:widowControl/>
      </w:pPr>
      <w:r>
        <w:rPr>
          <w:sz w:val="20"/>
        </w:rPr>
        <w:t>24 foreign institutions with confirmed active partnerships (26 in all): 12 training and education, 8 clinical affiliation, 2 research collaboration, 2 ownership or management, 1 government agreement, 1 advisory and consulting. Sources in the profile and the partnerships tracker.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3060000" cy="14008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onesia_partnerships_map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400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i/>
          <w:color w:val="6E6E6E"/>
          <w:sz w:val="16"/>
        </w:rPr>
        <w:t>Active foreign health-system partnerships by city of the partner in Indonesia. Source: CSI partnerships tracker, verified 2026-10-07. Boundaries: Natural Earth; not an official depiction.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  <w:tblHeader/>
        </w:trPr>
        <w:tc>
          <w:tcPr>
            <w:tcW w:type="dxa" w:w="3685"/>
            <w:shd w:val="clear" w:color="auto" w:fill="D91F2C"/>
          </w:tcPr>
          <w:p>
            <w:r>
              <w:rPr>
                <w:b/>
                <w:color w:val="FFFFFF"/>
                <w:sz w:val="18"/>
              </w:rPr>
              <w:t>Institution</w:t>
            </w:r>
          </w:p>
        </w:tc>
        <w:tc>
          <w:tcPr>
            <w:tcW w:type="dxa" w:w="5953"/>
            <w:shd w:val="clear" w:color="auto" w:fill="D91F2C"/>
          </w:tcPr>
          <w:p>
            <w:r>
              <w:rPr>
                <w:b/>
                <w:color w:val="FFFFFF"/>
                <w:sz w:val="18"/>
              </w:rPr>
              <w:t>Nature of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Cedars-Sinai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Harvard Medical School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MD Anderson Cancer Center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Advisory and consulting, Government agreement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Mayo Clinic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Clinical affiliation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St. Jude Children's Research Hospital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Apollo Hospitals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Clinical affiliation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Asia OneHealthcare (A1Health, formerly Columbia Asia Healthcare)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Ownership or management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Chung Shan Medical University (Taiwan)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Hong Kong Asia Medical Group (HKAMG)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Clinical affiliation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Icon Group (Icon Cancer Centre)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Ownership or management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International University of Health and Welfare (IUHW)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Monash Health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National Center for Global Health and Medicine (NCGM) and Kobe University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Ramathibodi Hospital, Mahidol University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Sapporo Cardio Vascular Clinic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Clinical affiliation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Seoul National University Hospital (SNUH)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Clinical affiliation, 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SingHealth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SingHealth Duke-NUS Global Health Institute (SingHealth and Duke-NUS Medical School)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Sun Medical Center (Sun Healthcare International)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Clinical affiliation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Taipei Veterans General Hospital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Clinical affiliation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Tokushukai Medical Group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Clinical affiliation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Wuhan Asia Heart Hospital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Zhongda Hospital (Southeast University)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Zhongshan Hospital (Fudan University)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</w:tbl>
    <w:p>
      <w:pPr>
        <w:pStyle w:val="Heading1"/>
        <w:keepNext/>
        <w:widowControl/>
        <w:spacing w:before="280" w:after="80"/>
      </w:pPr>
      <w:r>
        <w:t>CSI Position, Risks and Recent News</w:t>
      </w:r>
    </w:p>
    <w:p>
      <w:pPr>
        <w:spacing w:before="0" w:after="80"/>
        <w:keepNext/>
        <w:widowControl/>
        <w:pBdr>
          <w:bottom w:val="single" w:sz="12" w:space="1" w:color="D91F2C"/>
        </w:pBdr>
      </w:pPr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CSI partnerships in Indonesia</w:t>
      </w:r>
    </w:p>
    <w:p>
      <w:pPr>
        <w:keepNext/>
        <w:widowControl/>
      </w:pPr>
      <w:r>
        <w:rPr>
          <w:b/>
          <w:color w:val="996A00"/>
          <w:sz w:val="20"/>
          <w:highlight w:val="yellow"/>
        </w:rPr>
        <w:t>[MANUAL INPUT REQUIRED]</w:t>
      </w:r>
    </w:p>
    <w:p>
      <w:pPr>
        <w:widowControl/>
      </w:pPr>
      <w:r>
        <w:rPr>
          <w:i/>
          <w:color w:val="6E6E6E"/>
          <w:sz w:val="17"/>
        </w:rPr>
        <w:t>To be completed by CSI from internal data; not researched.</w:t>
      </w:r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Opportunities for CSI</w:t>
      </w:r>
    </w:p>
    <w:p>
      <w:pPr>
        <w:keepNext/>
        <w:widowControl/>
      </w:pPr>
      <w:r>
        <w:rPr>
          <w:b/>
          <w:color w:val="996A00"/>
          <w:sz w:val="20"/>
          <w:highlight w:val="yellow"/>
        </w:rPr>
        <w:t>[MANUAL INPUT REQUIRED]</w:t>
      </w:r>
    </w:p>
    <w:p>
      <w:pPr>
        <w:widowControl/>
      </w:pPr>
      <w:r>
        <w:rPr>
          <w:i/>
          <w:color w:val="6E6E6E"/>
          <w:sz w:val="17"/>
        </w:rPr>
        <w:t>To be completed by CSI from internal data; not researched.</w:t>
      </w:r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Risks and watch items</w:t>
      </w:r>
    </w:p>
    <w:p>
      <w:pPr>
        <w:pStyle w:val="ListBullet"/>
        <w:widowControl/>
        <w:spacing w:after="60"/>
      </w:pPr>
      <w:r>
        <w:rPr>
          <w:sz w:val="21"/>
        </w:rPr>
        <w:t>The JKN fund recorded a deficit of Rp 17.13 trillion in 2025, against Rp 7.66 trillion in 2024.</w:t>
      </w:r>
      <w:hyperlink r:id="rId30">
        <w:r>
          <w:rPr>
            <w:color w:val="B31822"/>
            <w:vertAlign w:val="superscript"/>
          </w:rPr>
          <w:t xml:space="preserve">47</w:t>
        </w:r>
      </w:hyperlink>
    </w:p>
    <w:p>
      <w:pPr>
        <w:pStyle w:val="ListBullet"/>
        <w:widowControl/>
        <w:spacing w:after="60"/>
      </w:pPr>
      <w:r>
        <w:rPr>
          <w:sz w:val="21"/>
        </w:rPr>
        <w:t>Physicians numbered 0.52 per 1,000 people in 2023, and the minister cited a 29,000 specialist shortage.</w:t>
      </w:r>
      <w:hyperlink r:id="rId39">
        <w:r>
          <w:rPr>
            <w:color w:val="B31822"/>
            <w:vertAlign w:val="superscript"/>
          </w:rPr>
          <w:t xml:space="preserve">38,</w:t>
        </w:r>
      </w:hyperlink>
      <w:hyperlink r:id="rId15">
        <w:r>
          <w:rPr>
            <w:color w:val="B31822"/>
            <w:vertAlign w:val="superscript"/>
          </w:rPr>
          <w:t xml:space="preserve">48</w:t>
        </w:r>
      </w:hyperlink>
    </w:p>
    <w:p>
      <w:pPr>
        <w:pStyle w:val="ListBullet"/>
        <w:widowControl/>
        <w:spacing w:after="60"/>
      </w:pPr>
      <w:r>
        <w:rPr>
          <w:sz w:val="21"/>
        </w:rPr>
        <w:t>The 2023 Health Law eliminated the mandatory health spending minimum.</w:t>
      </w:r>
      <w:hyperlink r:id="rId44">
        <w:r>
          <w:rPr>
            <w:color w:val="B31822"/>
            <w:vertAlign w:val="superscript"/>
          </w:rPr>
          <w:t xml:space="preserve">14</w:t>
        </w:r>
      </w:hyperlink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Recent developments</w:t>
      </w:r>
    </w:p>
    <w:p>
      <w:pPr>
        <w:widowControl/>
        <w:spacing w:after="60"/>
      </w:pPr>
      <w:r>
        <w:rPr>
          <w:b/>
          <w:color w:val="B31822"/>
          <w:sz w:val="20"/>
        </w:rPr>
        <w:t xml:space="preserve">2026-06-09   </w:t>
      </w:r>
      <w:r>
        <w:rPr>
          <w:sz w:val="20"/>
        </w:rPr>
        <w:t>BPJS Kesehatan said monthly deficits are about Rp 2 trillion and it expects a Rp 20 trillion government injection.</w:t>
      </w:r>
      <w:hyperlink r:id="rId29">
        <w:r>
          <w:rPr>
            <w:color w:val="B31822"/>
            <w:vertAlign w:val="superscript"/>
          </w:rPr>
          <w:t xml:space="preserve">31</w:t>
        </w:r>
      </w:hyperlink>
    </w:p>
    <w:p>
      <w:pPr>
        <w:widowControl/>
        <w:spacing w:after="60"/>
      </w:pPr>
      <w:r>
        <w:rPr>
          <w:b/>
          <w:color w:val="B31822"/>
          <w:sz w:val="20"/>
        </w:rPr>
        <w:t xml:space="preserve">2026-08-04   </w:t>
      </w:r>
      <w:r>
        <w:rPr>
          <w:sz w:val="20"/>
        </w:rPr>
        <w:t>Free health checks reached 73.8 million people in 2026 up to 31 July, against a target of 130 million.</w:t>
      </w:r>
      <w:hyperlink r:id="rId21">
        <w:r>
          <w:rPr>
            <w:color w:val="B31822"/>
            <w:vertAlign w:val="superscript"/>
          </w:rPr>
          <w:t xml:space="preserve">15</w:t>
        </w:r>
      </w:hyperlink>
    </w:p>
    <w:p>
      <w:pPr>
        <w:spacing w:after="60"/>
      </w:pPr>
      <w:r>
        <w:rPr>
          <w:b/>
          <w:color w:val="B31822"/>
          <w:sz w:val="20"/>
        </w:rPr>
        <w:t xml:space="preserve">2026-08-14   </w:t>
      </w:r>
      <w:r>
        <w:rPr>
          <w:sz w:val="20"/>
        </w:rPr>
        <w:t>The 2027 draft health budget is up 1.7 percent on the 2026 outlook of Rp 240.8 trillion.</w:t>
      </w:r>
      <w:hyperlink r:id="rId45">
        <w:r>
          <w:rPr>
            <w:color w:val="B31822"/>
            <w:vertAlign w:val="superscript"/>
          </w:rPr>
          <w:t xml:space="preserve">46</w:t>
        </w:r>
      </w:hyperlink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6E"/>
        <w:sz w:val="18"/>
      </w:rPr>
      <w:t xml:space="preserve">Cedars-Sinai International   </w:t>
    </w:r>
    <w:r>
      <w:rPr>
        <w:color w:val="6E6E6E"/>
        <w:sz w:val="18"/>
      </w:rPr>
      <w:fldChar w:fldCharType="begin"/>
    </w:r>
    <w:r>
      <w:rPr>
        <w:color w:val="6E6E6E"/>
        <w:sz w:val="18"/>
      </w:rPr>
      <w:instrText xml:space="preserve"> PAGE </w:instrText>
    </w:r>
    <w:r>
      <w:rPr>
        <w:color w:val="6E6E6E"/>
        <w:sz w:val="18"/>
      </w:rPr>
      <w:fldChar w:fldCharType="separate"/>
    </w:r>
    <w:r>
      <w:rPr>
        <w:color w:val="6E6E6E"/>
        <w:sz w:val="18"/>
      </w:rPr>
      <w:t/>
    </w:r>
    <w:r>
      <w:rPr>
        <w:color w:val="6E6E6E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/>
      <w:color w:val="2424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D91F2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B318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hyperlink" Target="https://api.worldbank.org/v2/country/IDN/indicator/SP.POP.TOTL?format=json" TargetMode="External"/><Relationship Id="rId12" Type="http://schemas.openxmlformats.org/officeDocument/2006/relationships/hyperlink" Target="https://api.worldbank.org/v2/country/IDN/indicator/NY.GDP.PCAP.PP.CD?format=json" TargetMode="External"/><Relationship Id="rId13" Type="http://schemas.openxmlformats.org/officeDocument/2006/relationships/hyperlink" Target="https://api.worldbank.org/v2/country/IDN/indicator/SH.XPD.CHEX.GD.ZS?format=json" TargetMode="External"/><Relationship Id="rId14" Type="http://schemas.openxmlformats.org/officeDocument/2006/relationships/hyperlink" Target="https://api.worldbank.org/v2/country/IDN/indicator/SH.XPD.OOPC.CH.ZS?format=json" TargetMode="External"/><Relationship Id="rId15" Type="http://schemas.openxmlformats.org/officeDocument/2006/relationships/hyperlink" Target="https://api.worldbank.org/v2/country/IDN;MYS;THA;VNM;PHL;SGP;OED;WLD/indicator/SH.MED.PHYS.ZS?format=json&amp;per_page=100&amp;date=2021:2023" TargetMode="External"/><Relationship Id="rId16" Type="http://schemas.openxmlformats.org/officeDocument/2006/relationships/hyperlink" Target="https://api.worldbank.org/v2/country/IDN/indicator/SH.MED.BEDS.ZS?format=json" TargetMode="External"/><Relationship Id="rId17" Type="http://schemas.openxmlformats.org/officeDocument/2006/relationships/hyperlink" Target="https://api.worldbank.org/v2/country/IDN/indicator/SH.TBS.INCD?format=json" TargetMode="External"/><Relationship Id="rId18" Type="http://schemas.openxmlformats.org/officeDocument/2006/relationships/hyperlink" Target="https://wartaekonomi.co.id/read598290/cakupan-jkn-tembus-98-penduduk-indonesia-bpjs-catat-peserta-capai-2827-juta-jiwa" TargetMode="External"/><Relationship Id="rId19" Type="http://schemas.openxmlformats.org/officeDocument/2006/relationships/hyperlink" Target="https://www.bbc.com/news/world-asia-pacific-14921238" TargetMode="External"/><Relationship Id="rId20" Type="http://schemas.openxmlformats.org/officeDocument/2006/relationships/hyperlink" Target="https://indonesiabusinesspost.com/2964/Politics/cyber-and-espionage" TargetMode="External"/><Relationship Id="rId21" Type="http://schemas.openxmlformats.org/officeDocument/2006/relationships/hyperlink" Target="https://www.kemkes.go.id/id/kemenkes-perkuat-tindak-lanjut-cek-kesehatan-gratis-usai-tembus-73,8-juta-peserta" TargetMode="External"/><Relationship Id="rId22" Type="http://schemas.openxmlformats.org/officeDocument/2006/relationships/hyperlink" Target="https://api.worldbank.org/v2/country/IDN/indicator/NY.GDP.MKTP.PP.CD?format=json" TargetMode="External"/><Relationship Id="rId23" Type="http://schemas.openxmlformats.org/officeDocument/2006/relationships/hyperlink" Target="https://api.worldbank.org/v2/country/IDN/indicator/NY.GDP.MKTP.KD.ZG?format=json" TargetMode="External"/><Relationship Id="rId24" Type="http://schemas.openxmlformats.org/officeDocument/2006/relationships/hyperlink" Target="https://www.worldbank.org/en/news/press-release/2026/06/13/indonesia-s-growth-remains-resilient-but-productivity-reforms-are-key-to-creating" TargetMode="External"/><Relationship Id="rId25" Type="http://schemas.openxmlformats.org/officeDocument/2006/relationships/hyperlink" Target="https://api.worldbank.org/v2/country/IDN/indicator/SP.URB.TOTL.IN.ZS?format=json" TargetMode="External"/><Relationship Id="rId26" Type="http://schemas.openxmlformats.org/officeDocument/2006/relationships/hyperlink" Target="https://api.worldbank.org/v2/country/IDN/indicator/SP.POP.65UP.TO.ZS?format=json" TargetMode="External"/><Relationship Id="rId27" Type="http://schemas.openxmlformats.org/officeDocument/2006/relationships/hyperlink" Target="https://api.worldbank.org/v2/country/IDN/indicator/SP.DYN.LE00.IN?format=json" TargetMode="External"/><Relationship Id="rId28" Type="http://schemas.openxmlformats.org/officeDocument/2006/relationships/hyperlink" Target="https://www.worldbank.org/en/results/2026/06/17/expanding-health-service-coverage-quality-and-equity-at-scale-in-indonesia" TargetMode="External"/><Relationship Id="rId29" Type="http://schemas.openxmlformats.org/officeDocument/2006/relationships/hyperlink" Target="https://thejakartapost.com/indonesia/2026/06/11/bpjs-kesehatan-warns-it-may-fail-to-pay-claims-next-year-as-deficits-persist" TargetMode="External"/><Relationship Id="rId30" Type="http://schemas.openxmlformats.org/officeDocument/2006/relationships/hyperlink" Target="https://katadata.co.id/finansial/keuangan/6a462f6ee51e3/defisit-bpjs-kesehatan-bengkak-124-di-2025-tembus-rp-17-1-triliun-ada-apa" TargetMode="External"/><Relationship Id="rId31" Type="http://schemas.openxmlformats.org/officeDocument/2006/relationships/hyperlink" Target="https://api.worldbank.org/v2/country/IDN;MYS;THA;VNM;PHL;SGP;OED;WLD/indicator/SH.XPD.CHEX.GD.ZS?format=json&amp;per_page=100&amp;date=2021:2023" TargetMode="External"/><Relationship Id="rId32" Type="http://schemas.openxmlformats.org/officeDocument/2006/relationships/hyperlink" Target="https://nasional.kontan.co.id/news/dari-92-fakultas-kesehatan-hanya-30-fakultas-kesehatan-cetak-dokter-spesialis" TargetMode="External"/><Relationship Id="rId33" Type="http://schemas.openxmlformats.org/officeDocument/2006/relationships/hyperlink" Target="https://databoks.katadata.co.id/en/consumer-services/statistics/69265660c28ff/most-general-hospitals-in-indonesia-are-privately-owned-2020-2024" TargetMode="External"/><Relationship Id="rId34" Type="http://schemas.openxmlformats.org/officeDocument/2006/relationships/hyperlink" Target="https://www.suarasurabaya.net/kelanakota/2025/cek-kesehatan-gratis-mulai-10-februari-kemenkes-siapkan-10-200-puskesmas-di-seluruh-indonesia/" TargetMode="External"/><Relationship Id="rId35" Type="http://schemas.openxmlformats.org/officeDocument/2006/relationships/hyperlink" Target="https://www.kemkes.go.id/id/mulai-2027-pemerintah-siap-renovasi-dan-bangun-ribuan--puskesmas" TargetMode="External"/><Relationship Id="rId36" Type="http://schemas.openxmlformats.org/officeDocument/2006/relationships/image" Target="media/image2.png"/><Relationship Id="rId37" Type="http://schemas.openxmlformats.org/officeDocument/2006/relationships/image" Target="media/image3.png"/><Relationship Id="rId38" Type="http://schemas.openxmlformats.org/officeDocument/2006/relationships/hyperlink" Target="https://investasi.kontan.co.id/news/intip-rekomendasi-saham-dan-prospek-emiten-rumah-sakit-di-2026" TargetMode="External"/><Relationship Id="rId39" Type="http://schemas.openxmlformats.org/officeDocument/2006/relationships/hyperlink" Target="https://kr-asia.com/indonesia-makes-billion-dollar-health-care-bet-to-keep-rich-patients-at-home" TargetMode="External"/><Relationship Id="rId40" Type="http://schemas.openxmlformats.org/officeDocument/2006/relationships/hyperlink" Target="https://investortrust.id/market/77152/mayapada-healthcare-invests-rp-1-trillion-to-build-international-hospital-in-batam" TargetMode="External"/><Relationship Id="rId41" Type="http://schemas.openxmlformats.org/officeDocument/2006/relationships/hyperlink" Target="https://bali.com/news/press-releases/bali-international-hospital-hosts-meet-greet-with-global-medical-partners" TargetMode="External"/><Relationship Id="rId42" Type="http://schemas.openxmlformats.org/officeDocument/2006/relationships/image" Target="media/image4.png"/><Relationship Id="rId43" Type="http://schemas.openxmlformats.org/officeDocument/2006/relationships/image" Target="media/image5.png"/><Relationship Id="rId44" Type="http://schemas.openxmlformats.org/officeDocument/2006/relationships/hyperlink" Target="https://asianews.network/indonesian-lawmakers-pass-omnibus-health-bill-despite-protests/" TargetMode="External"/><Relationship Id="rId45" Type="http://schemas.openxmlformats.org/officeDocument/2006/relationships/hyperlink" Target="https://databoks.katadata.co.id/en/economics-macro/statistics/6a7f005c873f5/health-budget-rises-to-idr-2449-trillion-in-2027-draft-state-budg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