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278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cover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spacing w:before="0" w:after="80"/>
      </w:pPr>
      <w:r>
        <w:t>At a Glance</w:t>
      </w:r>
    </w:p>
    <w:p>
      <w:pPr>
        <w:spacing w:before="0" w:after="80"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1.46 bn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B31822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about, 2025</w:t>
            </w:r>
            <w:hyperlink r:id="rId15">
              <w:r>
                <w:rPr>
                  <w:color w:val="B31822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132.5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funded, 8 years to 2026</w:t>
            </w:r>
            <w:hyperlink r:id="rId16">
              <w:r>
                <w:rPr>
                  <w:color w:val="B31822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B31822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644,000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B31822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B31822"/>
          <w:sz w:val="24"/>
        </w:rPr>
        <w:t>Country background</w:t>
      </w:r>
    </w:p>
    <w:p>
      <w:r>
        <w:rPr>
          <w:sz w:val="21"/>
        </w:rPr>
        <w:t>India, with about 1.46 billion people in 2025, is a federal parliamentary democratic republic with its capital in New Delhi.</w:t>
      </w:r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20">
        <w:r>
          <w:rPr>
            <w:color w:val="B31822"/>
            <w:vertAlign w:val="superscript"/>
          </w:rPr>
          <w:t xml:space="preserve">2</w:t>
        </w:r>
      </w:hyperlink>
      <w:r>
        <w:rPr>
          <w:sz w:val="21"/>
        </w:rPr>
        <w:t xml:space="preserve"> President Droupadi Murmu is head of state, and Prime Minister Narendra Modi, in office since 2014, began a third term in June 2024.</w:t>
      </w:r>
      <w:hyperlink r:id="rId21">
        <w:r>
          <w:rPr>
            <w:color w:val="B31822"/>
            <w:vertAlign w:val="superscript"/>
          </w:rPr>
          <w:t xml:space="preserve">8,</w:t>
        </w:r>
      </w:hyperlink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Health care delivery is a state responsibility under the Constitution, and a state government is often the counterparty for a foreign partner.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1"/>
        </w:rPr>
        <w:t xml:space="preserve"> The IMF counts India among the fastest-growing major economies: official provisional estimates put real GDP growth at 7.7 percent in FY2025-26, and the World Bank puts 2025 GDP at about US$17.2 trillion in purchasing-power terms.</w:t>
      </w:r>
      <w:hyperlink r:id="rId24">
        <w:r>
          <w:rPr>
            <w:color w:val="B31822"/>
            <w:vertAlign w:val="superscript"/>
          </w:rPr>
          <w:t xml:space="preserve">25,</w:t>
        </w:r>
      </w:hyperlink>
      <w:hyperlink r:id="rId25">
        <w:r>
          <w:rPr>
            <w:color w:val="B31822"/>
            <w:vertAlign w:val="superscript"/>
          </w:rPr>
          <w:t xml:space="preserve">26,</w:t>
        </w:r>
      </w:hyperlink>
      <w:hyperlink r:id="rId26">
        <w:r>
          <w:rPr>
            <w:color w:val="B31822"/>
            <w:vertAlign w:val="superscript"/>
          </w:rPr>
          <w:t xml:space="preserve">5</w:t>
        </w:r>
      </w:hyperlink>
      <w:r>
        <w:rPr>
          <w:sz w:val="21"/>
        </w:rPr>
        <w:t xml:space="preserve"> The population is aging: fertility fell to 1.9 in 2024, below replacement, and UNFPA projects the share aged 60 and over to rise from 10.5 percent in 2022 to 20.8 percent by 2050.</w:t>
      </w:r>
      <w:hyperlink r:id="rId27">
        <w:r>
          <w:rPr>
            <w:color w:val="B31822"/>
            <w:vertAlign w:val="superscript"/>
          </w:rPr>
          <w:t xml:space="preserve">12,</w:t>
        </w:r>
      </w:hyperlink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29">
        <w:r>
          <w:rPr>
            <w:color w:val="B31822"/>
            <w:vertAlign w:val="superscript"/>
          </w:rPr>
          <w:t xml:space="preserve">16</w:t>
        </w:r>
      </w:hyperlink>
      <w:r>
        <w:rPr>
          <w:sz w:val="21"/>
        </w:rPr>
        <w:t xml:space="preserve"> US trade policy is a risk: most Indian goods have faced a 10 percent US duty since 24 July 2026.</w:t>
      </w:r>
      <w:hyperlink r:id="rId30">
        <w:r>
          <w:rPr>
            <w:color w:val="B31822"/>
            <w:vertAlign w:val="superscript"/>
          </w:rPr>
          <w:t xml:space="preserve">29,</w:t>
        </w:r>
      </w:hyperlink>
      <w:hyperlink r:id="rId31">
        <w:r>
          <w:rPr>
            <w:color w:val="B31822"/>
            <w:vertAlign w:val="superscript"/>
          </w:rPr>
          <w:t xml:space="preserve">30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32">
        <w:r>
          <w:rPr>
            <w:color w:val="B31822"/>
            <w:vertAlign w:val="superscript"/>
          </w:rPr>
          <w:t xml:space="preserve">59,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33">
        <w:r>
          <w:rPr>
            <w:color w:val="B31822"/>
            <w:vertAlign w:val="superscript"/>
          </w:rPr>
          <w:t xml:space="preserve">122,</w:t>
        </w:r>
      </w:hyperlink>
      <w:hyperlink r:id="rId34">
        <w:r>
          <w:rPr>
            <w:color w:val="B31822"/>
            <w:vertAlign w:val="superscript"/>
          </w:rPr>
          <w:t xml:space="preserve">124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35">
        <w:r>
          <w:rPr>
            <w:color w:val="B31822"/>
            <w:vertAlign w:val="superscript"/>
          </w:rPr>
          <w:t xml:space="preserve">72,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spacing w:before="0" w:after="80"/>
      </w:pPr>
      <w:r>
        <w:t>Health System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37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38">
        <w:r>
          <w:rPr>
            <w:color w:val="B31822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B31822"/>
            <w:vertAlign w:val="superscript"/>
          </w:rPr>
          <w:t xml:space="preserve">76,</w:t>
        </w:r>
      </w:hyperlink>
      <w:hyperlink r:id="rId42">
        <w:r>
          <w:rPr>
            <w:color w:val="B31822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36">
        <w:r>
          <w:rPr>
            <w:color w:val="B31822"/>
            <w:vertAlign w:val="superscript"/>
          </w:rPr>
          <w:t xml:space="preserve">83,</w:t>
        </w:r>
      </w:hyperlink>
      <w:hyperlink r:id="rId44">
        <w:r>
          <w:rPr>
            <w:color w:val="B31822"/>
            <w:vertAlign w:val="superscript"/>
          </w:rPr>
          <w:t xml:space="preserve">84,</w:t>
        </w:r>
      </w:hyperlink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45">
        <w:r>
          <w:rPr>
            <w:color w:val="B31822"/>
            <w:vertAlign w:val="superscript"/>
          </w:rPr>
          <w:t xml:space="preserve">86,</w:t>
        </w:r>
      </w:hyperlink>
      <w:hyperlink r:id="rId46">
        <w:r>
          <w:rPr>
            <w:color w:val="B31822"/>
            <w:vertAlign w:val="superscript"/>
          </w:rPr>
          <w:t xml:space="preserve">87,</w:t>
        </w:r>
      </w:hyperlink>
      <w:hyperlink r:id="rId47">
        <w:r>
          <w:rPr>
            <w:color w:val="B31822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spacing w:before="0" w:after="80"/>
      </w:pPr>
      <w:r>
        <w:t>Market and Competition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0">
        <w:r>
          <w:rPr>
            <w:color w:val="B31822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3">
        <w:r>
          <w:rPr>
            <w:color w:val="B31822"/>
            <w:vertAlign w:val="superscript"/>
          </w:rPr>
          <w:t xml:space="preserve">74,</w:t>
        </w:r>
      </w:hyperlink>
      <w:hyperlink r:id="rId54">
        <w:r>
          <w:rPr>
            <w:color w:val="B31822"/>
            <w:vertAlign w:val="superscript"/>
          </w:rPr>
          <w:t xml:space="preserve">71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55">
        <w:r>
          <w:rPr>
            <w:color w:val="B31822"/>
            <w:vertAlign w:val="superscript"/>
          </w:rPr>
          <w:t xml:space="preserve">103,</w:t>
        </w:r>
      </w:hyperlink>
      <w:hyperlink r:id="rId56">
        <w:r>
          <w:rPr>
            <w:color w:val="B31822"/>
            <w:vertAlign w:val="superscript"/>
          </w:rPr>
          <w:t xml:space="preserve">100</w:t>
        </w:r>
      </w:hyperlink>
    </w:p>
    <w:p>
      <w:pPr>
        <w:spacing w:before="160" w:after="40"/>
      </w:pPr>
      <w:r>
        <w:rPr>
          <w:b/>
          <w:sz w:val="21"/>
        </w:rPr>
        <w:t>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580000" cy="2266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8">
        <w:r>
          <w:rPr>
            <w:color w:val="B31822"/>
            <w:vertAlign w:val="superscript"/>
          </w:rPr>
          <w:t xml:space="preserve">65,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0">
        <w:r>
          <w:rPr>
            <w:color w:val="B31822"/>
            <w:vertAlign w:val="superscript"/>
          </w:rPr>
          <w:t xml:space="preserve">67,</w:t>
        </w:r>
      </w:hyperlink>
      <w:hyperlink r:id="rId59">
        <w:r>
          <w:rPr>
            <w:color w:val="B31822"/>
            <w:vertAlign w:val="superscript"/>
          </w:rPr>
          <w:t xml:space="preserve">68,</w:t>
        </w:r>
      </w:hyperlink>
      <w:hyperlink r:id="rId60">
        <w:r>
          <w:rPr>
            <w:color w:val="B31822"/>
            <w:vertAlign w:val="superscript"/>
          </w:rPr>
          <w:t xml:space="preserve">69,</w:t>
        </w:r>
      </w:hyperlink>
      <w:hyperlink r:id="rId61">
        <w:r>
          <w:rPr>
            <w:color w:val="B31822"/>
            <w:vertAlign w:val="superscript"/>
          </w:rPr>
          <w:t xml:space="preserve">70,</w:t>
        </w:r>
      </w:hyperlink>
      <w:hyperlink r:id="rId53">
        <w:r>
          <w:rPr>
            <w:color w:val="B31822"/>
            <w:vertAlign w:val="superscript"/>
          </w:rPr>
          <w:t xml:space="preserve">74,</w:t>
        </w:r>
      </w:hyperlink>
      <w:hyperlink r:id="rId62">
        <w:r>
          <w:rPr>
            <w:color w:val="B31822"/>
            <w:vertAlign w:val="superscript"/>
          </w:rPr>
          <w:t xml:space="preserve">137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US academic medical centers in India</w:t>
      </w:r>
    </w:p>
    <w:tbl>
      <w:tblPr>
        <w:tblW w:type="auto" w:w="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US institution</w:t>
            </w:r>
          </w:p>
        </w:tc>
        <w:tc>
          <w:tcPr>
            <w:tcW w:type="dxa" w:w="3402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Partner in India</w:t>
            </w:r>
          </w:p>
        </w:tc>
        <w:tc>
          <w:tcPr>
            <w:tcW w:type="dxa" w:w="3969"/>
            <w:shd w:val="clear" w:color="auto" w:fill="D91F2C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Mayo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AIG, Lilavati, Adani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2019, 2025;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Cleveland Clinic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Maharashtra, Brookfield, Arodhan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MoU signed June 2026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Johns Hopkins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HCL; IIT Bombay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2014, 2023;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Memorial Sloan Kettering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iCliniq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MD Anderson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Tata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Sister agreement 2003; ECHO partner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Mount Sinai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Ramaiah Memorial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July 2024; 10-year term reported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UCLA Health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Narendra Modi Medical College; AIIMS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2024; department level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NewYork-Presbyterian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Emergency services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2007, 2008; none currently listed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UPMC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TeleChikitsa; Citizens Hospital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2014;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Mass General Brigham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Wockhardt Hospitals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About 2001; not confirmed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sz w:val="18"/>
              </w:rPr>
              <w:t>Houston Methodist; Northwestern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None identified</w:t>
            </w:r>
          </w:p>
        </w:tc>
        <w:tc>
          <w:tcPr>
            <w:tcW w:type="dxa" w:w="3969"/>
          </w:tcPr>
          <w:p>
            <w:r>
              <w:rPr>
                <w:b w:val="0"/>
                <w:sz w:val="18"/>
              </w:rPr>
              <w:t>None listed</w:t>
            </w:r>
          </w:p>
        </w:tc>
      </w:tr>
    </w:tbl>
    <w:p>
      <w:pPr>
        <w:spacing w:before="120"/>
      </w:pPr>
      <w:r>
        <w:rPr>
          <w:sz w:val="20"/>
        </w:rPr>
        <w:t>US ties are mostly advisory, network or education deals, not ownership; several are less visible than headlines suggest.</w:t>
      </w:r>
    </w:p>
    <w:p>
      <w:r>
        <w:br w:type="page"/>
      </w:r>
    </w:p>
    <w:p>
      <w:pPr>
        <w:pStyle w:val="Heading1"/>
        <w:spacing w:before="0" w:after="80"/>
      </w:pPr>
      <w:r>
        <w:t>Opportunities and Risks for CSI</w:t>
      </w:r>
    </w:p>
    <w:p>
      <w:pPr>
        <w:spacing w:before="0" w:after="80"/>
        <w:pBdr>
          <w:bottom w:val="single" w:sz="12" w:space="1" w:color="D91F2C"/>
        </w:pBdr>
      </w:pPr>
    </w:p>
    <w:p>
      <w:pPr>
        <w:spacing w:before="160" w:after="60"/>
      </w:pPr>
      <w:r>
        <w:rPr>
          <w:b/>
          <w:color w:val="B31822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36">
        <w:r>
          <w:rPr>
            <w:color w:val="B31822"/>
            <w:vertAlign w:val="superscript"/>
          </w:rPr>
          <w:t xml:space="preserve">83,</w:t>
        </w:r>
      </w:hyperlink>
      <w:hyperlink r:id="rId63">
        <w:r>
          <w:rPr>
            <w:color w:val="B31822"/>
            <w:vertAlign w:val="superscript"/>
          </w:rPr>
          <w:t xml:space="preserve">36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64">
        <w:r>
          <w:rPr>
            <w:color w:val="B31822"/>
            <w:vertAlign w:val="superscript"/>
          </w:rPr>
          <w:t xml:space="preserve">37,</w:t>
        </w:r>
      </w:hyperlink>
      <w:hyperlink r:id="rId65">
        <w:r>
          <w:rPr>
            <w:color w:val="B31822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B31822"/>
            <w:vertAlign w:val="superscript"/>
          </w:rPr>
          <w:t xml:space="preserve">104,</w:t>
        </w:r>
      </w:hyperlink>
      <w:hyperlink r:id="rId66">
        <w:r>
          <w:rPr>
            <w:color w:val="B31822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67">
        <w:r>
          <w:rPr>
            <w:color w:val="B31822"/>
            <w:vertAlign w:val="superscript"/>
          </w:rPr>
          <w:t xml:space="preserve">33,</w:t>
        </w:r>
      </w:hyperlink>
      <w:hyperlink r:id="rId68">
        <w:r>
          <w:rPr>
            <w:color w:val="B31822"/>
            <w:vertAlign w:val="superscript"/>
          </w:rPr>
          <w:t xml:space="preserve">31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40">
        <w:r>
          <w:rPr>
            <w:color w:val="B31822"/>
            <w:vertAlign w:val="superscript"/>
          </w:rPr>
          <w:t xml:space="preserve">89,</w:t>
        </w:r>
      </w:hyperlink>
      <w:hyperlink r:id="rId16">
        <w:r>
          <w:rPr>
            <w:color w:val="B31822"/>
            <w:vertAlign w:val="superscript"/>
          </w:rPr>
          <w:t xml:space="preserve">56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spacing w:after="60"/>
      </w:pPr>
      <w:r>
        <w:rPr>
          <w:b/>
          <w:color w:val="B31822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B31822"/>
            <w:vertAlign w:val="superscript"/>
          </w:rPr>
          <w:t xml:space="preserve">24,</w:t>
        </w:r>
      </w:hyperlink>
      <w:hyperlink r:id="rId55">
        <w:r>
          <w:rPr>
            <w:color w:val="B31822"/>
            <w:vertAlign w:val="superscript"/>
          </w:rPr>
          <w:t xml:space="preserve">103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53">
        <w:r>
          <w:rPr>
            <w:color w:val="B31822"/>
            <w:vertAlign w:val="superscript"/>
          </w:rPr>
          <w:t xml:space="preserve">74,</w:t>
        </w:r>
      </w:hyperlink>
      <w:hyperlink r:id="rId62">
        <w:r>
          <w:rPr>
            <w:color w:val="B31822"/>
            <w:vertAlign w:val="superscript"/>
          </w:rPr>
          <w:t xml:space="preserve">137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69">
        <w:r>
          <w:rPr>
            <w:color w:val="B31822"/>
            <w:vertAlign w:val="superscript"/>
          </w:rPr>
          <w:t xml:space="preserve">57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eoikhartoum.gov.in/india-at-a-glance.php" TargetMode="External"/><Relationship Id="rId20" Type="http://schemas.openxmlformats.org/officeDocument/2006/relationships/hyperlink" Target="https://cdnbbsr.s3waas.gov.in/s380537a945c7aaa788ccfcdf1b99b5d8f/uploads/2024/07/20240716890312078.pdf" TargetMode="External"/><Relationship Id="rId21" Type="http://schemas.openxmlformats.org/officeDocument/2006/relationships/hyperlink" Target="https://www.presidentofindia.gov.in/Profile" TargetMode="External"/><Relationship Id="rId22" Type="http://schemas.openxmlformats.org/officeDocument/2006/relationships/hyperlink" Target="https://www.pmindia.gov.in/en/pms-profile/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www.imf.org/-/media/files/publications/weo/2026/update/july/english/text.pdf" TargetMode="External"/><Relationship Id="rId25" Type="http://schemas.openxmlformats.org/officeDocument/2006/relationships/hyperlink" Target="https://www.mospi.gov.in/uploads/latestReleases/latest_release_1780655857536_5ac01869-ca4a-422d-b7a7-57b81da60932_Press_Note_on_GDP_Estimates_for_Q4_2025-26_and_PE_FY_2025-26_F.pdf" TargetMode="External"/><Relationship Id="rId26" Type="http://schemas.openxmlformats.org/officeDocument/2006/relationships/hyperlink" Target="https://data.worldbank.org/indicator/NY.GDP.MKTP.PP.CD?locations=IN" TargetMode="External"/><Relationship Id="rId27" Type="http://schemas.openxmlformats.org/officeDocument/2006/relationships/hyperlink" Target="https://m.thewire.in/article/health/all-the-states-except-six-in-north-india-are-below-replacement-fertility-levels-govt-report-suggests" TargetMode="External"/><Relationship Id="rId28" Type="http://schemas.openxmlformats.org/officeDocument/2006/relationships/hyperlink" Target="https://india.unfpa.org/en/news/india-ageing-elderly-make-20-population-2050-unfpa-report" TargetMode="External"/><Relationship Id="rId29" Type="http://schemas.openxmlformats.org/officeDocument/2006/relationships/hyperlink" Target="https://factly.in/data-india-ageing-report-2023-highlights-challenges-of-demographic-shift/" TargetMode="External"/><Relationship Id="rId30" Type="http://schemas.openxmlformats.org/officeDocument/2006/relationships/hyperlink" Target="https://www.newsonair.gov.in/white-house-says-india-to-face-temporary-10-per-cent-tariff-after-new-us-order" TargetMode="External"/><Relationship Id="rId31" Type="http://schemas.openxmlformats.org/officeDocument/2006/relationships/hyperlink" Target="https://www.morganlewis.com/pubs/2026/07/us-administration-rebuilds-global-tariff-program-under-section-301" TargetMode="External"/><Relationship Id="rId32" Type="http://schemas.openxmlformats.org/officeDocument/2006/relationships/hyperlink" Target="https://www.mospi.gov.in/uploads/release_calendar/1776681150721_PRESS_NOTE_HEALTH_REVISED.pdf" TargetMode="External"/><Relationship Id="rId33" Type="http://schemas.openxmlformats.org/officeDocument/2006/relationships/hyperlink" Target="https://finance.yahoo.com/news/ramaiah-memorial-hospital-signs-long-143000744.html" TargetMode="External"/><Relationship Id="rId34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35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36" Type="http://schemas.openxmlformats.org/officeDocument/2006/relationships/hyperlink" Target="https://thesouthfirst.com/health/south-india-leads-indias-nursing-workforce-as-national-ratio-remains-below-who-benchmark/" TargetMode="External"/><Relationship Id="rId37" Type="http://schemas.openxmlformats.org/officeDocument/2006/relationships/hyperlink" Target="https://www.pib.gov.in/PressReleasePage.aspx?PRID=2210432&amp;reg=3&amp;lang=1" TargetMode="External"/><Relationship Id="rId38" Type="http://schemas.openxmlformats.org/officeDocument/2006/relationships/hyperlink" Target="https://vajiramandravi.com/upsc-exam/15th-finance-commission/" TargetMode="External"/><Relationship Id="rId39" Type="http://schemas.openxmlformats.org/officeDocument/2006/relationships/hyperlink" Target="https://www.pib.gov.in/PressReleasePage.aspx?PRID=2080071&amp;reg=48&amp;lang=2" TargetMode="External"/><Relationship Id="rId40" Type="http://schemas.openxmlformats.org/officeDocument/2006/relationships/hyperlink" Target="https://www.business-standard.com/health/rural-india-chc-s-see-nearly-80-shortfall-of-specialist-doctors-govt-rpt-124091000561_1.html" TargetMode="External"/><Relationship Id="rId41" Type="http://schemas.openxmlformats.org/officeDocument/2006/relationships/image" Target="media/image2.png"/><Relationship Id="rId42" Type="http://schemas.openxmlformats.org/officeDocument/2006/relationships/hyperlink" Target="https://theprint.in/health/as-govt-cut-health-spends-post-covid-indians-paid-more-out-of-pocket-in-2022-23-reversing-10-yr-trend/2943692/" TargetMode="External"/><Relationship Id="rId43" Type="http://schemas.openxmlformats.org/officeDocument/2006/relationships/image" Target="media/image3.png"/><Relationship Id="rId44" Type="http://schemas.openxmlformats.org/officeDocument/2006/relationships/hyperlink" Target="https://www.chennaionline.com/life/nrts-implementation-uneven-across-india/" TargetMode="External"/><Relationship Id="rId45" Type="http://schemas.openxmlformats.org/officeDocument/2006/relationships/hyperlink" Target="https://www.oecd.org/en/publications/health-at-a-glance-2025_8f9e3f98-en/full-report/doctors-overall-number-and-distribution_beb60151.html" TargetMode="External"/><Relationship Id="rId46" Type="http://schemas.openxmlformats.org/officeDocument/2006/relationships/hyperlink" Target="https://www.oecd.org/en/publications/health-at-a-glance-2025_8f9e3f98-en/full-report/nurses_00c2bcb9.html" TargetMode="External"/><Relationship Id="rId47" Type="http://schemas.openxmlformats.org/officeDocument/2006/relationships/hyperlink" Target="https://www.oecd.org/en/publications/2025/11/health-at-a-glance-2025_a894f72e/full-report/hospital-beds-and-occupancy_152d839e.html" TargetMode="External"/><Relationship Id="rId48" Type="http://schemas.openxmlformats.org/officeDocument/2006/relationships/hyperlink" Target="https://groww.in/ipo/manipal-health-enterprises-ipo" TargetMode="External"/><Relationship Id="rId49" Type="http://schemas.openxmlformats.org/officeDocument/2006/relationships/hyperlink" Target="https://www.apollohospitals.com/sites/default/files/2026-05/ahel-q4fy26-resullts-release.pdf" TargetMode="External"/><Relationship Id="rId50" Type="http://schemas.openxmlformats.org/officeDocument/2006/relationships/hyperlink" Target="https://www.healthcaremea.com/2026/07/03/aster-dm-quality-care-begins-operations-post-merger-with-over-10600-beds/" TargetMode="External"/><Relationship Id="rId51" Type="http://schemas.openxmlformats.org/officeDocument/2006/relationships/hyperlink" Target="https://www.business-standard.com/markets/news/manipal-health-share-price-lists-at-11-premium-beats-gmp-expectations-126080500123_1.html" TargetMode="External"/><Relationship Id="rId52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53" Type="http://schemas.openxmlformats.org/officeDocument/2006/relationships/hyperlink" Target="https://www.nasdaq.com/press-release/kkr-acquire-leading-multi-specialty-healthcare-provider-medicover-india-2026-08-06" TargetMode="External"/><Relationship Id="rId54" Type="http://schemas.openxmlformats.org/officeDocument/2006/relationships/hyperlink" Target="https://www.investywise.com/fortis-healthcare-results-of-open-offers/" TargetMode="External"/><Relationship Id="rId55" Type="http://schemas.openxmlformats.org/officeDocument/2006/relationships/hyperlink" Target="https://www.bwhealthcareworld.com/article/maharashtra-signs-1-2-billion-deal-to-develop-navi-mumbai-medicity-610344" TargetMode="External"/><Relationship Id="rId56" Type="http://schemas.openxmlformats.org/officeDocument/2006/relationships/hyperlink" Target="https://www.adani.com/newsroom/media-releases/adani-to-partner-mayo-clinic-to-establish-affordable-world-class-healthcare-facilities" TargetMode="External"/><Relationship Id="rId57" Type="http://schemas.openxmlformats.org/officeDocument/2006/relationships/image" Target="media/image4.png"/><Relationship Id="rId58" Type="http://schemas.openxmlformats.org/officeDocument/2006/relationships/hyperlink" Target="https://www.bwhealthcareworld.com/article/apollo-hospitals-q4-fy26-profit-rises-36-to-rs-529-crore-revenue-up-18-607774" TargetMode="External"/><Relationship Id="rId59" Type="http://schemas.openxmlformats.org/officeDocument/2006/relationships/hyperlink" Target="https://max-website20-images.s3.ap-south-1.amazonaws.com/SE_Intimation_Reg_30_LODR_Earnings_Update_21_05_2026_ed3cd6e592.pdf" TargetMode="External"/><Relationship Id="rId60" Type="http://schemas.openxmlformats.org/officeDocument/2006/relationships/hyperlink" Target="https://max-website20-images.s3.ap-south-1.amazonaws.com/FY_2025_26_Integrated_Annual_Report_ab5f34d431.pdf" TargetMode="External"/><Relationship Id="rId61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62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63" Type="http://schemas.openxmlformats.org/officeDocument/2006/relationships/hyperlink" Target="https://www.business-standard.com/budget/news/govt-to-support-five-regional-medical-tourism-hubs-126020100321_1.html" TargetMode="External"/><Relationship Id="rId64" Type="http://schemas.openxmlformats.org/officeDocument/2006/relationships/hyperlink" Target="https://thefederal.com/health/noncommunicable-diseases-caused-66-deaths-in-india-in-2019-who" TargetMode="External"/><Relationship Id="rId65" Type="http://schemas.openxmlformats.org/officeDocument/2006/relationships/hyperlink" Target="https://risingkashmir.com/india-sees-over-15-lakh-new-cancer-cases-in-2024-health-ministry/" TargetMode="External"/><Relationship Id="rId6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67" Type="http://schemas.openxmlformats.org/officeDocument/2006/relationships/hyperlink" Target="https://sanctionsnews.bakermckenzie.com/us-president-signs-russia-and-iran-sanctions-bill-with-new-tariff-powers/" TargetMode="External"/><Relationship Id="rId68" Type="http://schemas.openxmlformats.org/officeDocument/2006/relationships/hyperlink" Target="https://www.indialaw.in/blog/us-pharma-tariffs-2026-exporters/" TargetMode="External"/><Relationship Id="rId69" Type="http://schemas.openxmlformats.org/officeDocument/2006/relationships/hyperlink" Target="https://morungexpress.com/indias-ab-pm-jay-marks-8th-anniversary-funds-1325-crore-admis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